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990EF8" w:rsidRPr="00B77BAF" w:rsidTr="00B77BAF">
        <w:trPr>
          <w:trHeight w:val="469"/>
        </w:trPr>
        <w:tc>
          <w:tcPr>
            <w:tcW w:w="2048" w:type="dxa"/>
            <w:gridSpan w:val="3"/>
            <w:vMerge w:val="restart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7.75pt;height:57.75pt;visibility:visible">
                  <v:imagedata r:id="rId7" o:title=""/>
                </v:shape>
              </w:pict>
            </w:r>
          </w:p>
        </w:tc>
        <w:tc>
          <w:tcPr>
            <w:tcW w:w="5272" w:type="dxa"/>
            <w:gridSpan w:val="11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B77BAF">
                  <w:rPr>
                    <w:rFonts w:ascii="Arial Narrow" w:hAnsi="Arial Narrow"/>
                    <w:b/>
                    <w:sz w:val="20"/>
                    <w:szCs w:val="20"/>
                    <w:lang w:val="en-US"/>
                  </w:rPr>
                  <w:t>UNIVERSITY</w:t>
                </w:r>
              </w:smartTag>
              <w:r w:rsidRPr="00B77BAF">
                <w:rPr>
                  <w:rFonts w:ascii="Arial Narrow" w:hAnsi="Arial Narrow"/>
                  <w:b/>
                  <w:sz w:val="20"/>
                  <w:szCs w:val="20"/>
                  <w:lang w:val="en-US"/>
                </w:rPr>
                <w:t xml:space="preserve"> OF </w:t>
              </w:r>
              <w:smartTag w:uri="urn:schemas-microsoft-com:office:smarttags" w:element="PlaceName">
                <w:r w:rsidRPr="00B77BAF">
                  <w:rPr>
                    <w:rFonts w:ascii="Arial Narrow" w:hAnsi="Arial Narrow"/>
                    <w:b/>
                    <w:sz w:val="20"/>
                    <w:szCs w:val="20"/>
                    <w:lang w:val="en-US"/>
                  </w:rPr>
                  <w:t>EAST SARAJEVO</w:t>
                </w:r>
              </w:smartTag>
            </w:smartTag>
          </w:p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 w:rsidRPr="00B77BAF">
              <w:rPr>
                <w:noProof/>
                <w:sz w:val="28"/>
                <w:szCs w:val="28"/>
                <w:lang w:val="en-US"/>
              </w:rPr>
              <w:pict>
                <v:shape id="Picture 5" o:spid="_x0000_i1026" type="#_x0000_t75" alt="pecat_ver_1b" style="width:80.25pt;height:77.25pt;visibility:visible">
                  <v:imagedata r:id="rId8" o:title=""/>
                </v:shape>
              </w:pict>
            </w:r>
          </w:p>
        </w:tc>
      </w:tr>
      <w:tr w:rsidR="00990EF8" w:rsidRPr="00B77BAF" w:rsidTr="00B77BAF">
        <w:trPr>
          <w:trHeight w:val="366"/>
        </w:trPr>
        <w:tc>
          <w:tcPr>
            <w:tcW w:w="2048" w:type="dxa"/>
            <w:gridSpan w:val="3"/>
            <w:vMerge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Study program</w:t>
            </w:r>
            <w:r w:rsidRPr="00B77BAF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: </w:t>
            </w:r>
            <w:r w:rsidRPr="00B77BAF">
              <w:rPr>
                <w:rFonts w:ascii="Arial Narrow" w:hAnsi="Arial Narrow"/>
                <w:i/>
                <w:sz w:val="20"/>
                <w:szCs w:val="20"/>
                <w:lang w:val="en-US"/>
              </w:rPr>
              <w:t>Law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990EF8" w:rsidRPr="00B77BAF" w:rsidTr="00B77BAF">
        <w:tc>
          <w:tcPr>
            <w:tcW w:w="2048" w:type="dxa"/>
            <w:gridSpan w:val="3"/>
            <w:vMerge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First cycle of study</w:t>
            </w:r>
          </w:p>
        </w:tc>
        <w:tc>
          <w:tcPr>
            <w:tcW w:w="2636" w:type="dxa"/>
            <w:gridSpan w:val="5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IV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 study year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990EF8" w:rsidRPr="00B77BAF" w:rsidTr="00B77BAF">
        <w:tc>
          <w:tcPr>
            <w:tcW w:w="2048" w:type="dxa"/>
            <w:gridSpan w:val="3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Full subject name</w:t>
            </w:r>
          </w:p>
        </w:tc>
        <w:tc>
          <w:tcPr>
            <w:tcW w:w="7558" w:type="dxa"/>
            <w:gridSpan w:val="14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INTELLECTUAL PROPERTY LAW</w:t>
            </w:r>
          </w:p>
        </w:tc>
      </w:tr>
      <w:tr w:rsidR="00990EF8" w:rsidRPr="00B77BAF" w:rsidTr="00B77BAF">
        <w:tc>
          <w:tcPr>
            <w:tcW w:w="2048" w:type="dxa"/>
            <w:gridSpan w:val="3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7558" w:type="dxa"/>
            <w:gridSpan w:val="14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Civil and commercial law department </w:t>
            </w:r>
          </w:p>
        </w:tc>
      </w:tr>
      <w:tr w:rsidR="00990EF8" w:rsidRPr="00B77BAF" w:rsidTr="00B77BAF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Course status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990EF8" w:rsidRPr="00B77BAF" w:rsidTr="00B77BAF">
        <w:trPr>
          <w:trHeight w:val="229"/>
        </w:trPr>
        <w:tc>
          <w:tcPr>
            <w:tcW w:w="2943" w:type="dxa"/>
            <w:gridSpan w:val="6"/>
            <w:vMerge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990EF8" w:rsidRPr="00B77BAF" w:rsidTr="00B77BAF">
        <w:tc>
          <w:tcPr>
            <w:tcW w:w="2943" w:type="dxa"/>
            <w:gridSpan w:val="6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PF-1-8-036</w:t>
            </w:r>
          </w:p>
        </w:tc>
        <w:tc>
          <w:tcPr>
            <w:tcW w:w="2268" w:type="dxa"/>
            <w:gridSpan w:val="5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Compulsory</w:t>
            </w:r>
          </w:p>
        </w:tc>
        <w:tc>
          <w:tcPr>
            <w:tcW w:w="2109" w:type="dxa"/>
            <w:gridSpan w:val="3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Latn-BA"/>
              </w:rPr>
              <w:t>VIII</w:t>
            </w:r>
          </w:p>
        </w:tc>
        <w:tc>
          <w:tcPr>
            <w:tcW w:w="2286" w:type="dxa"/>
            <w:gridSpan w:val="3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990EF8" w:rsidRPr="00B77BAF" w:rsidTr="00B77BAF">
        <w:tc>
          <w:tcPr>
            <w:tcW w:w="1668" w:type="dxa"/>
            <w:gridSpan w:val="2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Teacher/s</w:t>
            </w:r>
          </w:p>
        </w:tc>
        <w:tc>
          <w:tcPr>
            <w:tcW w:w="7938" w:type="dxa"/>
            <w:gridSpan w:val="15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Svjetlana Ivanovi</w:t>
            </w:r>
            <w:r w:rsidRPr="00B77BAF">
              <w:rPr>
                <w:rFonts w:ascii="Arial Narrow" w:hAnsi="Arial Narrow"/>
                <w:sz w:val="20"/>
                <w:szCs w:val="20"/>
              </w:rPr>
              <w:t xml:space="preserve">ć,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Assistant Professor </w:t>
            </w:r>
          </w:p>
        </w:tc>
      </w:tr>
      <w:tr w:rsidR="00990EF8" w:rsidRPr="00B77BAF" w:rsidTr="00B77BAF">
        <w:tc>
          <w:tcPr>
            <w:tcW w:w="1668" w:type="dxa"/>
            <w:gridSpan w:val="2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Associate</w:t>
            </w:r>
          </w:p>
        </w:tc>
        <w:tc>
          <w:tcPr>
            <w:tcW w:w="7938" w:type="dxa"/>
            <w:gridSpan w:val="15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990EF8" w:rsidRPr="00B77BAF" w:rsidTr="00B77BAF">
        <w:tc>
          <w:tcPr>
            <w:tcW w:w="3794" w:type="dxa"/>
            <w:gridSpan w:val="7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The number of teaching hours/ teaching workload (per week)</w:t>
            </w:r>
          </w:p>
        </w:tc>
        <w:tc>
          <w:tcPr>
            <w:tcW w:w="3823" w:type="dxa"/>
            <w:gridSpan w:val="8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Individual student workload (in semester hours)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Coefficient of student workload </w:t>
            </w:r>
            <w:r w:rsidRPr="00B77BAF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S </w:t>
            </w:r>
            <w:r w:rsidRPr="00B77BAF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B77BAF">
              <w:rPr>
                <w:rFonts w:ascii="Arial Narrow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990EF8" w:rsidRPr="00B77BAF" w:rsidTr="00B77BAF">
        <w:tc>
          <w:tcPr>
            <w:tcW w:w="1242" w:type="dxa"/>
            <w:shd w:val="clear" w:color="auto" w:fill="F2F2F2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L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SP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L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SP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With </w:t>
            </w:r>
            <w:r w:rsidRPr="00B77BAF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990EF8" w:rsidRPr="00B77BAF" w:rsidTr="00B77BAF">
        <w:tc>
          <w:tcPr>
            <w:tcW w:w="1242" w:type="dxa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</w:rPr>
              <w:t>3*15*1,61</w:t>
            </w:r>
          </w:p>
        </w:tc>
        <w:tc>
          <w:tcPr>
            <w:tcW w:w="1275" w:type="dxa"/>
            <w:gridSpan w:val="2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</w:rPr>
              <w:t>2*15*1,61</w:t>
            </w:r>
          </w:p>
        </w:tc>
        <w:tc>
          <w:tcPr>
            <w:tcW w:w="1272" w:type="dxa"/>
            <w:gridSpan w:val="3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</w:rPr>
              <w:t>0*15*1,61</w:t>
            </w:r>
          </w:p>
        </w:tc>
        <w:tc>
          <w:tcPr>
            <w:tcW w:w="1989" w:type="dxa"/>
            <w:gridSpan w:val="2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</w:rPr>
              <w:t>1,61</w:t>
            </w:r>
          </w:p>
        </w:tc>
      </w:tr>
      <w:tr w:rsidR="00990EF8" w:rsidRPr="00B77BAF" w:rsidTr="00B77BAF">
        <w:tc>
          <w:tcPr>
            <w:tcW w:w="4614" w:type="dxa"/>
            <w:gridSpan w:val="8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Total teaching workload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(in hours, per semester) 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</w:p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X*15 + Y*15</w:t>
            </w:r>
            <w:r w:rsidRPr="00B77BAF">
              <w:rPr>
                <w:rFonts w:ascii="Arial Narrow" w:hAnsi="Arial Narrow"/>
                <w:sz w:val="20"/>
                <w:szCs w:val="20"/>
              </w:rPr>
              <w:t xml:space="preserve"> + Z*15 = W</w:t>
            </w:r>
          </w:p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</w:rPr>
              <w:t>45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+ </w:t>
            </w:r>
            <w:r w:rsidRPr="00B77BAF">
              <w:rPr>
                <w:rFonts w:ascii="Arial Narrow" w:hAnsi="Arial Narrow"/>
                <w:sz w:val="20"/>
                <w:szCs w:val="20"/>
              </w:rPr>
              <w:t>30 + 0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=</w:t>
            </w:r>
            <w:r w:rsidRPr="00B77BAF">
              <w:rPr>
                <w:rFonts w:ascii="Arial Narrow" w:hAnsi="Arial Narrow"/>
                <w:sz w:val="20"/>
                <w:szCs w:val="20"/>
              </w:rPr>
              <w:t>75 h</w:t>
            </w:r>
          </w:p>
        </w:tc>
        <w:tc>
          <w:tcPr>
            <w:tcW w:w="4992" w:type="dxa"/>
            <w:gridSpan w:val="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Total student workload (in hours, per semester)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</w:p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</w:rPr>
              <w:t>3*15*1,61 + 2*15*1,61 + 0*15*1,61 = T</w:t>
            </w:r>
          </w:p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</w:rPr>
              <w:t>72,45</w:t>
            </w:r>
            <w:r w:rsidRPr="00B77BAF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+ </w:t>
            </w:r>
            <w:r w:rsidRPr="00B77BAF">
              <w:rPr>
                <w:rFonts w:ascii="Arial Narrow" w:hAnsi="Arial Narrow"/>
                <w:sz w:val="20"/>
                <w:szCs w:val="20"/>
              </w:rPr>
              <w:t>48,3 + 0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= </w:t>
            </w:r>
            <w:r w:rsidRPr="00B77BAF">
              <w:rPr>
                <w:rFonts w:ascii="Arial Narrow" w:hAnsi="Arial Narrow"/>
                <w:sz w:val="20"/>
                <w:szCs w:val="20"/>
              </w:rPr>
              <w:t>120,75 h</w:t>
            </w:r>
          </w:p>
        </w:tc>
      </w:tr>
      <w:tr w:rsidR="00990EF8" w:rsidRPr="00B77BAF" w:rsidTr="00B77BAF">
        <w:tc>
          <w:tcPr>
            <w:tcW w:w="9606" w:type="dxa"/>
            <w:gridSpan w:val="17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B77BAF">
              <w:rPr>
                <w:rFonts w:ascii="Arial Narrow" w:hAnsi="Arial Narrow"/>
                <w:sz w:val="20"/>
                <w:szCs w:val="20"/>
              </w:rPr>
              <w:t>Total subject workload (teaching+student): 195,75 semester hours</w:t>
            </w:r>
          </w:p>
        </w:tc>
      </w:tr>
      <w:tr w:rsidR="00990EF8" w:rsidRPr="00B77BAF" w:rsidTr="00B77BAF">
        <w:tc>
          <w:tcPr>
            <w:tcW w:w="1668" w:type="dxa"/>
            <w:gridSpan w:val="2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Learning outcomes</w:t>
            </w:r>
          </w:p>
        </w:tc>
        <w:tc>
          <w:tcPr>
            <w:tcW w:w="7938" w:type="dxa"/>
            <w:gridSpan w:val="15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By mastering this subject, the student will be able to: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1. Distinguish and explain various forms of intellectual property rights,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2. Understand the importance of intellectual property,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3. Learn the procedure of obtaining the legal protection of intellectual property rights,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4. Apply statutory provisions to protect particular form of intellectual property rights.</w:t>
            </w:r>
          </w:p>
        </w:tc>
      </w:tr>
      <w:tr w:rsidR="00990EF8" w:rsidRPr="00B77BAF" w:rsidTr="00B77BAF">
        <w:tc>
          <w:tcPr>
            <w:tcW w:w="1668" w:type="dxa"/>
            <w:gridSpan w:val="2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Preconditions</w:t>
            </w:r>
          </w:p>
        </w:tc>
        <w:tc>
          <w:tcPr>
            <w:tcW w:w="7938" w:type="dxa"/>
            <w:gridSpan w:val="15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</w:rPr>
              <w:t xml:space="preserve">In order to take the exam, it is necessary to pass the exam in the subject Law of Obligations – Special Part  </w:t>
            </w:r>
          </w:p>
        </w:tc>
      </w:tr>
      <w:tr w:rsidR="00990EF8" w:rsidRPr="00B77BAF" w:rsidTr="00B77BAF">
        <w:tc>
          <w:tcPr>
            <w:tcW w:w="1668" w:type="dxa"/>
            <w:gridSpan w:val="2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Teaching methods </w:t>
            </w:r>
          </w:p>
        </w:tc>
        <w:tc>
          <w:tcPr>
            <w:tcW w:w="7938" w:type="dxa"/>
            <w:gridSpan w:val="15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Lectures, auditory exercises, seminar works, case studies, practical teaching.</w:t>
            </w:r>
          </w:p>
        </w:tc>
      </w:tr>
      <w:tr w:rsidR="00990EF8" w:rsidRPr="00B77BAF" w:rsidTr="00B77BAF">
        <w:tc>
          <w:tcPr>
            <w:tcW w:w="1668" w:type="dxa"/>
            <w:gridSpan w:val="2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Course content by week</w:t>
            </w:r>
          </w:p>
        </w:tc>
        <w:tc>
          <w:tcPr>
            <w:tcW w:w="7938" w:type="dxa"/>
            <w:gridSpan w:val="15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1.</w:t>
            </w:r>
            <w:r w:rsidRPr="00B77BAF">
              <w:rPr>
                <w:rFonts w:ascii="Arial Narrow" w:hAnsi="Arial Narrow"/>
                <w:sz w:val="20"/>
                <w:szCs w:val="20"/>
              </w:rPr>
              <w:t xml:space="preserve"> Introduction to Intellectual property law. 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</w:rPr>
              <w:t xml:space="preserve">2. The sources of Intellectual property law. The principle of territoriality. International treaties and conventions on intellectual property.  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3. </w:t>
            </w:r>
            <w:r w:rsidRPr="00B77BAF">
              <w:rPr>
                <w:rFonts w:ascii="Arial Narrow" w:hAnsi="Arial Narrow"/>
                <w:sz w:val="20"/>
                <w:szCs w:val="20"/>
              </w:rPr>
              <w:t>Copyright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  <w:r w:rsidRPr="00B77BAF">
              <w:rPr>
                <w:rFonts w:ascii="Arial Narrow" w:hAnsi="Arial Narrow"/>
                <w:sz w:val="20"/>
                <w:szCs w:val="20"/>
              </w:rPr>
              <w:t xml:space="preserve"> Work of authorship. Author and coauthors.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4. </w:t>
            </w:r>
            <w:r w:rsidRPr="00B77BAF">
              <w:rPr>
                <w:rFonts w:ascii="Arial Narrow" w:hAnsi="Arial Narrow"/>
                <w:sz w:val="20"/>
                <w:szCs w:val="20"/>
              </w:rPr>
              <w:t>Contents of copyright. Moral and economic rights of the author. Exceptions and limitations to copyright.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5.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Related rights.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6.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Collective management of copyright and related rights.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7.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Patent law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.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Invention. Procedure for the grant of a patent.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8.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Content and scope of the patent. Limitations of the effects of patents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 Duration and termination of the patent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 European Patent Convention. 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9.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Trademark law. Signs which may be protected by trademark. Protection procedure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.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Content, acquisition and the scope of rights. Termination of rights. 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10.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Protection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of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indications of geographical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origin.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11.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Protection of industrial designs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12.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Protection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of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topographies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of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integrated circuits. Protection of plant varieties. </w:t>
            </w:r>
            <w:r w:rsidRPr="00B77BAF">
              <w:rPr>
                <w:rFonts w:ascii="Arial Narrow" w:hAnsi="Arial Narrow"/>
                <w:sz w:val="20"/>
                <w:szCs w:val="20"/>
              </w:rPr>
              <w:t>Know-how.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13.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 Transfer of intellectual property rights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 License agreement. Copyright contracts. 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14.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Judicial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and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administrative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protection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of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intellectual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property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rights.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15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. Unfair competition</w:t>
            </w:r>
            <w:r w:rsidRPr="00B77B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law.</w:t>
            </w:r>
          </w:p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990EF8" w:rsidRPr="00B77BAF" w:rsidTr="00B77BAF">
        <w:tc>
          <w:tcPr>
            <w:tcW w:w="9606" w:type="dxa"/>
            <w:gridSpan w:val="17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Compulsory literature</w:t>
            </w:r>
            <w:r w:rsidRPr="00B77BA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990EF8" w:rsidRPr="00B77BAF" w:rsidTr="00B77BAF">
        <w:tc>
          <w:tcPr>
            <w:tcW w:w="2512" w:type="dxa"/>
            <w:gridSpan w:val="4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Publication title,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Pages (From-To)</w:t>
            </w:r>
          </w:p>
        </w:tc>
      </w:tr>
      <w:tr w:rsidR="00990EF8" w:rsidRPr="00B77BAF" w:rsidTr="00B77BAF">
        <w:tc>
          <w:tcPr>
            <w:tcW w:w="2512" w:type="dxa"/>
            <w:gridSpan w:val="4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Justine Pila, Paul Torremans</w:t>
            </w:r>
          </w:p>
        </w:tc>
        <w:tc>
          <w:tcPr>
            <w:tcW w:w="4255" w:type="dxa"/>
            <w:gridSpan w:val="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European Intellectual Property Law, </w:t>
            </w:r>
            <w:smartTag w:uri="urn:schemas-microsoft-com:office:smarttags" w:element="place">
              <w:smartTag w:uri="urn:schemas-microsoft-com:office:smarttags" w:element="PlaceName">
                <w:r w:rsidRPr="00B77BAF"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Oxford</w:t>
                </w:r>
              </w:smartTag>
              <w:r w:rsidRPr="00B77BAF">
                <w:rPr>
                  <w:rFonts w:ascii="Arial Narrow" w:hAnsi="Arial Narrow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B77BAF"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University</w:t>
                </w:r>
              </w:smartTag>
            </w:smartTag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 Press </w:t>
            </w:r>
          </w:p>
        </w:tc>
        <w:tc>
          <w:tcPr>
            <w:tcW w:w="850" w:type="dxa"/>
            <w:gridSpan w:val="2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201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990EF8" w:rsidRPr="00B77BAF" w:rsidTr="00B77BAF">
        <w:tc>
          <w:tcPr>
            <w:tcW w:w="9606" w:type="dxa"/>
            <w:gridSpan w:val="17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Additional literature</w:t>
            </w:r>
          </w:p>
        </w:tc>
      </w:tr>
      <w:tr w:rsidR="00990EF8" w:rsidRPr="00B77BAF" w:rsidTr="00B77BAF">
        <w:tc>
          <w:tcPr>
            <w:tcW w:w="2512" w:type="dxa"/>
            <w:gridSpan w:val="4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Publication title,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Pages (From-To</w:t>
            </w:r>
          </w:p>
        </w:tc>
      </w:tr>
      <w:tr w:rsidR="00990EF8" w:rsidRPr="00B77BAF" w:rsidTr="00B77BAF">
        <w:tc>
          <w:tcPr>
            <w:tcW w:w="2512" w:type="dxa"/>
            <w:gridSpan w:val="4"/>
            <w:vAlign w:val="center"/>
          </w:tcPr>
          <w:p w:rsidR="00990EF8" w:rsidRPr="00B77BAF" w:rsidRDefault="00990EF8" w:rsidP="00B77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 w:cs="MinionPro-Regular"/>
                <w:sz w:val="20"/>
                <w:szCs w:val="20"/>
              </w:rPr>
              <w:t>Paul Goldstein, P. Bernt Hugenholtz</w:t>
            </w:r>
          </w:p>
        </w:tc>
        <w:tc>
          <w:tcPr>
            <w:tcW w:w="4255" w:type="dxa"/>
            <w:gridSpan w:val="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International Copyright, Principles, Law and Practice, </w:t>
            </w:r>
            <w:smartTag w:uri="urn:schemas-microsoft-com:office:smarttags" w:element="place">
              <w:smartTag w:uri="urn:schemas-microsoft-com:office:smarttags" w:element="PlaceName">
                <w:r w:rsidRPr="00B77BAF"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Oxford</w:t>
                </w:r>
              </w:smartTag>
              <w:r w:rsidRPr="00B77BAF">
                <w:rPr>
                  <w:rFonts w:ascii="Arial Narrow" w:hAnsi="Arial Narrow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B77BAF"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University</w:t>
                </w:r>
              </w:smartTag>
            </w:smartTag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 Press</w:t>
            </w:r>
          </w:p>
        </w:tc>
        <w:tc>
          <w:tcPr>
            <w:tcW w:w="850" w:type="dxa"/>
            <w:gridSpan w:val="2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201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990EF8" w:rsidRPr="00B77BAF" w:rsidTr="00B77BAF">
        <w:tc>
          <w:tcPr>
            <w:tcW w:w="2512" w:type="dxa"/>
            <w:gridSpan w:val="4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WIPO Intellectual Property Handbook</w:t>
            </w:r>
          </w:p>
        </w:tc>
        <w:tc>
          <w:tcPr>
            <w:tcW w:w="850" w:type="dxa"/>
            <w:gridSpan w:val="2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200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990EF8" w:rsidRPr="00B77BAF" w:rsidTr="00B77BAF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Student responsibilities, types of student assessment and grading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Grading policy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Points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Percentage</w:t>
            </w:r>
          </w:p>
        </w:tc>
      </w:tr>
      <w:tr w:rsidR="00990EF8" w:rsidRPr="00B77BAF" w:rsidTr="00B77BAF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Pre-exam obligations</w:t>
            </w:r>
          </w:p>
        </w:tc>
      </w:tr>
      <w:tr w:rsidR="00990EF8" w:rsidRPr="00B77BAF" w:rsidTr="00B77BAF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Lecture attendance</w:t>
            </w:r>
          </w:p>
        </w:tc>
        <w:tc>
          <w:tcPr>
            <w:tcW w:w="992" w:type="dxa"/>
            <w:gridSpan w:val="2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294" w:type="dxa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20%</w:t>
            </w:r>
          </w:p>
        </w:tc>
      </w:tr>
      <w:tr w:rsidR="00990EF8" w:rsidRPr="00B77BAF" w:rsidTr="00B77BAF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Seminar work/ project/ essay</w:t>
            </w:r>
          </w:p>
        </w:tc>
        <w:tc>
          <w:tcPr>
            <w:tcW w:w="992" w:type="dxa"/>
            <w:gridSpan w:val="2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5%</w:t>
            </w:r>
          </w:p>
        </w:tc>
      </w:tr>
      <w:tr w:rsidR="00990EF8" w:rsidRPr="00B77BAF" w:rsidTr="00B77BAF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Test/ colloquium </w:t>
            </w:r>
          </w:p>
        </w:tc>
        <w:tc>
          <w:tcPr>
            <w:tcW w:w="992" w:type="dxa"/>
            <w:gridSpan w:val="2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25</w:t>
            </w:r>
          </w:p>
        </w:tc>
        <w:tc>
          <w:tcPr>
            <w:tcW w:w="1294" w:type="dxa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25%</w:t>
            </w:r>
          </w:p>
        </w:tc>
      </w:tr>
      <w:tr w:rsidR="00990EF8" w:rsidRPr="00B77BAF" w:rsidTr="00B77BAF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Final exam</w:t>
            </w:r>
          </w:p>
        </w:tc>
      </w:tr>
      <w:tr w:rsidR="00990EF8" w:rsidRPr="00B77BAF" w:rsidTr="00B77BAF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990EF8" w:rsidRPr="00B77BAF" w:rsidRDefault="00990EF8" w:rsidP="00B77BA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992" w:type="dxa"/>
            <w:gridSpan w:val="2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50%</w:t>
            </w:r>
          </w:p>
        </w:tc>
      </w:tr>
      <w:tr w:rsidR="00990EF8" w:rsidRPr="00B77BAF" w:rsidTr="00B77BAF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>IN TOTAL</w:t>
            </w:r>
          </w:p>
        </w:tc>
        <w:tc>
          <w:tcPr>
            <w:tcW w:w="992" w:type="dxa"/>
            <w:gridSpan w:val="2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B77BAF">
              <w:rPr>
                <w:rFonts w:ascii="Arial Narrow" w:hAnsi="Arial Narrow"/>
                <w:sz w:val="20"/>
                <w:szCs w:val="20"/>
                <w:lang w:val="sr-Cyrl-BA"/>
              </w:rPr>
              <w:t>100 %</w:t>
            </w:r>
          </w:p>
        </w:tc>
      </w:tr>
      <w:tr w:rsidR="00990EF8" w:rsidRPr="00B77BAF" w:rsidTr="00B77BAF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7938" w:type="dxa"/>
            <w:gridSpan w:val="15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hyperlink r:id="rId9" w:history="1">
              <w:r w:rsidRPr="00B77BAF">
                <w:rPr>
                  <w:rStyle w:val="Hyperlink"/>
                  <w:rFonts w:ascii="Arial Narrow" w:hAnsi="Arial Narrow"/>
                  <w:sz w:val="20"/>
                  <w:szCs w:val="20"/>
                  <w:lang w:val="sr-Cyrl-BA"/>
                </w:rPr>
                <w:t>https://www.pravni.ues.rs.ba/</w:t>
              </w:r>
            </w:hyperlink>
            <w:r w:rsidRPr="00B77BA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</w:tr>
      <w:tr w:rsidR="00990EF8" w:rsidRPr="00B77BAF" w:rsidTr="00B77BAF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77BAF">
              <w:rPr>
                <w:rFonts w:ascii="Arial Narrow" w:hAnsi="Arial Narrow"/>
                <w:b/>
                <w:sz w:val="20"/>
                <w:szCs w:val="20"/>
                <w:lang w:val="en-US"/>
              </w:rPr>
              <w:t>Date of certification</w:t>
            </w:r>
          </w:p>
        </w:tc>
        <w:tc>
          <w:tcPr>
            <w:tcW w:w="7938" w:type="dxa"/>
            <w:gridSpan w:val="15"/>
            <w:vAlign w:val="center"/>
          </w:tcPr>
          <w:p w:rsidR="00990EF8" w:rsidRPr="00B77BAF" w:rsidRDefault="00990EF8" w:rsidP="00B77B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7BAF">
              <w:rPr>
                <w:rFonts w:ascii="Arial Narrow" w:hAnsi="Arial Narrow" w:cs="Arial"/>
                <w:color w:val="000000"/>
                <w:sz w:val="20"/>
                <w:szCs w:val="20"/>
              </w:rPr>
              <w:t>(enter the last date of adoption of this syllabus at the Council session)</w:t>
            </w:r>
          </w:p>
        </w:tc>
      </w:tr>
    </w:tbl>
    <w:p w:rsidR="00990EF8" w:rsidRDefault="00990EF8">
      <w:pPr>
        <w:rPr>
          <w:rFonts w:ascii="Arial Narrow" w:hAnsi="Arial Narrow"/>
          <w:sz w:val="18"/>
          <w:szCs w:val="20"/>
          <w:lang w:val="sr-Cyrl-BA"/>
        </w:rPr>
      </w:pPr>
    </w:p>
    <w:p w:rsidR="00990EF8" w:rsidRPr="00BB3616" w:rsidRDefault="00990EF8" w:rsidP="006627A4">
      <w:pPr>
        <w:rPr>
          <w:rFonts w:ascii="Arial Narrow" w:hAnsi="Arial Narrow"/>
          <w:sz w:val="18"/>
          <w:szCs w:val="20"/>
          <w:lang w:val="sr-Cyrl-BA"/>
        </w:rPr>
      </w:pPr>
      <w:r>
        <w:t xml:space="preserve"> </w:t>
      </w:r>
    </w:p>
    <w:sectPr w:rsidR="00990EF8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EF8" w:rsidRDefault="00990EF8" w:rsidP="00662C2A">
      <w:pPr>
        <w:spacing w:after="0" w:line="240" w:lineRule="auto"/>
      </w:pPr>
      <w:r>
        <w:separator/>
      </w:r>
    </w:p>
  </w:endnote>
  <w:endnote w:type="continuationSeparator" w:id="0">
    <w:p w:rsidR="00990EF8" w:rsidRDefault="00990EF8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EF8" w:rsidRDefault="00990EF8">
    <w:pPr>
      <w:pStyle w:val="Footer"/>
      <w:jc w:val="right"/>
    </w:pPr>
  </w:p>
  <w:p w:rsidR="00990EF8" w:rsidRDefault="00990E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EF8" w:rsidRDefault="00990EF8" w:rsidP="00662C2A">
      <w:pPr>
        <w:spacing w:after="0" w:line="240" w:lineRule="auto"/>
      </w:pPr>
      <w:r>
        <w:separator/>
      </w:r>
    </w:p>
  </w:footnote>
  <w:footnote w:type="continuationSeparator" w:id="0">
    <w:p w:rsidR="00990EF8" w:rsidRDefault="00990EF8" w:rsidP="00662C2A">
      <w:pPr>
        <w:spacing w:after="0" w:line="240" w:lineRule="auto"/>
      </w:pPr>
      <w:r>
        <w:continuationSeparator/>
      </w:r>
    </w:p>
  </w:footnote>
  <w:footnote w:id="1">
    <w:p w:rsidR="00990EF8" w:rsidRDefault="00990EF8" w:rsidP="00F2645F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Arial Narrow" w:hAnsi="Arial Narrow"/>
          <w:sz w:val="16"/>
          <w:szCs w:val="16"/>
          <w:lang w:val="en-US"/>
        </w:rPr>
        <w:t xml:space="preserve">Coefficient of student workload 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is calculated as follows: </w:t>
      </w:r>
    </w:p>
    <w:p w:rsidR="00990EF8" w:rsidRDefault="00990EF8" w:rsidP="00F2645F">
      <w:pPr>
        <w:pStyle w:val="FootnoteText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sz w:val="16"/>
          <w:szCs w:val="16"/>
        </w:rPr>
        <w:t>a</w:t>
      </w:r>
      <w:r w:rsidRPr="00ED59F8">
        <w:rPr>
          <w:rFonts w:ascii="Arial Narrow" w:hAnsi="Arial Narrow"/>
          <w:sz w:val="16"/>
          <w:szCs w:val="16"/>
        </w:rPr>
        <w:t xml:space="preserve">) </w:t>
      </w:r>
      <w:r>
        <w:rPr>
          <w:rFonts w:ascii="Arial Narrow" w:hAnsi="Arial Narrow"/>
          <w:sz w:val="16"/>
          <w:szCs w:val="16"/>
        </w:rPr>
        <w:t xml:space="preserve">for study programs that do not lead to licensing: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= </w:t>
      </w:r>
      <w:r w:rsidRPr="00277919">
        <w:rPr>
          <w:rFonts w:ascii="Arial Narrow" w:hAnsi="Arial Narrow"/>
          <w:sz w:val="16"/>
          <w:szCs w:val="16"/>
        </w:rPr>
        <w:t>(t</w:t>
      </w:r>
      <w:r>
        <w:rPr>
          <w:rFonts w:ascii="Arial Narrow" w:hAnsi="Arial Narrow"/>
          <w:sz w:val="16"/>
          <w:szCs w:val="16"/>
        </w:rPr>
        <w:t xml:space="preserve">otal load in the semester for all subjects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900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– </w:t>
      </w:r>
      <w:r>
        <w:rPr>
          <w:rFonts w:ascii="Arial Narrow" w:hAnsi="Arial Narrow"/>
          <w:sz w:val="16"/>
          <w:szCs w:val="16"/>
          <w:lang w:val="en-US"/>
        </w:rPr>
        <w:t>total teaching load P + V in the semester for all subjects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_____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)/ </w:t>
      </w:r>
      <w:r>
        <w:rPr>
          <w:rFonts w:ascii="Arial Narrow" w:hAnsi="Arial Narrow"/>
          <w:sz w:val="16"/>
          <w:szCs w:val="16"/>
          <w:lang w:val="en-US"/>
        </w:rPr>
        <w:t>total teaching load P + V in the semester for all subjects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_____ </w:t>
      </w:r>
      <w:r w:rsidRPr="00BB3616">
        <w:rPr>
          <w:rFonts w:ascii="Arial Narrow" w:hAnsi="Arial Narrow"/>
          <w:sz w:val="16"/>
          <w:szCs w:val="16"/>
          <w:lang w:val="sr-Latn-BA"/>
        </w:rPr>
        <w:t>h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= ____.</w:t>
      </w:r>
      <w:r>
        <w:rPr>
          <w:rFonts w:ascii="Arial Narrow" w:hAnsi="Arial Narrow"/>
          <w:sz w:val="16"/>
          <w:szCs w:val="16"/>
          <w:lang w:val="sr-Cyrl-BA"/>
        </w:rPr>
        <w:t xml:space="preserve"> </w:t>
      </w:r>
      <w:r>
        <w:rPr>
          <w:rFonts w:ascii="Arial Narrow" w:hAnsi="Arial Narrow"/>
          <w:sz w:val="16"/>
          <w:szCs w:val="16"/>
          <w:lang w:val="en-US"/>
        </w:rPr>
        <w:t xml:space="preserve">View the content of the form and explanation. </w:t>
      </w:r>
    </w:p>
    <w:p w:rsidR="00990EF8" w:rsidRDefault="00990EF8" w:rsidP="00F2645F">
      <w:pPr>
        <w:pStyle w:val="FootnoteText"/>
      </w:pPr>
      <w:r>
        <w:rPr>
          <w:rFonts w:ascii="Arial Narrow" w:hAnsi="Arial Narrow"/>
          <w:sz w:val="16"/>
          <w:szCs w:val="16"/>
          <w:lang w:val="en-US"/>
        </w:rPr>
        <w:t xml:space="preserve">b) for study programs leading to licensing, it is necessary to use the content of the form and the explanation.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510B8"/>
    <w:multiLevelType w:val="hybridMultilevel"/>
    <w:tmpl w:val="3378EC6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2CF"/>
    <w:rsid w:val="00001988"/>
    <w:rsid w:val="00005E54"/>
    <w:rsid w:val="00023902"/>
    <w:rsid w:val="000240BD"/>
    <w:rsid w:val="00045978"/>
    <w:rsid w:val="00060A17"/>
    <w:rsid w:val="00073BE8"/>
    <w:rsid w:val="000C09C7"/>
    <w:rsid w:val="000C20EE"/>
    <w:rsid w:val="000C4C55"/>
    <w:rsid w:val="000E6CA4"/>
    <w:rsid w:val="0010021E"/>
    <w:rsid w:val="00112054"/>
    <w:rsid w:val="0013577A"/>
    <w:rsid w:val="00142472"/>
    <w:rsid w:val="001674F1"/>
    <w:rsid w:val="001700A5"/>
    <w:rsid w:val="0017103F"/>
    <w:rsid w:val="00183D1B"/>
    <w:rsid w:val="00191E6E"/>
    <w:rsid w:val="001B6A8D"/>
    <w:rsid w:val="001E27BB"/>
    <w:rsid w:val="00206AE0"/>
    <w:rsid w:val="00207A6A"/>
    <w:rsid w:val="00275302"/>
    <w:rsid w:val="0027604B"/>
    <w:rsid w:val="00277834"/>
    <w:rsid w:val="00277919"/>
    <w:rsid w:val="002833F0"/>
    <w:rsid w:val="002971B8"/>
    <w:rsid w:val="002B0879"/>
    <w:rsid w:val="002B1324"/>
    <w:rsid w:val="002C7997"/>
    <w:rsid w:val="00322925"/>
    <w:rsid w:val="003469CA"/>
    <w:rsid w:val="00355B14"/>
    <w:rsid w:val="0037103D"/>
    <w:rsid w:val="00371F74"/>
    <w:rsid w:val="003848E7"/>
    <w:rsid w:val="00391E58"/>
    <w:rsid w:val="003A52B9"/>
    <w:rsid w:val="003B351C"/>
    <w:rsid w:val="003B47DD"/>
    <w:rsid w:val="003B5A99"/>
    <w:rsid w:val="00414A58"/>
    <w:rsid w:val="00421F85"/>
    <w:rsid w:val="0043206D"/>
    <w:rsid w:val="0044158F"/>
    <w:rsid w:val="00446201"/>
    <w:rsid w:val="00463D3E"/>
    <w:rsid w:val="00487DAA"/>
    <w:rsid w:val="00495159"/>
    <w:rsid w:val="004957BC"/>
    <w:rsid w:val="00545329"/>
    <w:rsid w:val="00550AD9"/>
    <w:rsid w:val="00564658"/>
    <w:rsid w:val="00575491"/>
    <w:rsid w:val="00581BDB"/>
    <w:rsid w:val="00592CFD"/>
    <w:rsid w:val="005B5014"/>
    <w:rsid w:val="005C2E3E"/>
    <w:rsid w:val="005F060D"/>
    <w:rsid w:val="00611E15"/>
    <w:rsid w:val="00620598"/>
    <w:rsid w:val="00621E22"/>
    <w:rsid w:val="006627A4"/>
    <w:rsid w:val="00662C2A"/>
    <w:rsid w:val="0067412A"/>
    <w:rsid w:val="00686EE2"/>
    <w:rsid w:val="00696562"/>
    <w:rsid w:val="006C4568"/>
    <w:rsid w:val="006F0D88"/>
    <w:rsid w:val="00707181"/>
    <w:rsid w:val="007140A1"/>
    <w:rsid w:val="00714E99"/>
    <w:rsid w:val="00720EA3"/>
    <w:rsid w:val="007311A3"/>
    <w:rsid w:val="00741E90"/>
    <w:rsid w:val="00745824"/>
    <w:rsid w:val="007729B8"/>
    <w:rsid w:val="007836A2"/>
    <w:rsid w:val="007A7335"/>
    <w:rsid w:val="007B7779"/>
    <w:rsid w:val="007D1DFD"/>
    <w:rsid w:val="007D4D9B"/>
    <w:rsid w:val="007E4456"/>
    <w:rsid w:val="00810CCB"/>
    <w:rsid w:val="00817290"/>
    <w:rsid w:val="008336CB"/>
    <w:rsid w:val="00834BB9"/>
    <w:rsid w:val="008859FB"/>
    <w:rsid w:val="008A5AAE"/>
    <w:rsid w:val="008B4FBF"/>
    <w:rsid w:val="008D5263"/>
    <w:rsid w:val="008E0237"/>
    <w:rsid w:val="008E6F9C"/>
    <w:rsid w:val="008F0EC1"/>
    <w:rsid w:val="008F54FF"/>
    <w:rsid w:val="00953D0B"/>
    <w:rsid w:val="00954C52"/>
    <w:rsid w:val="0095620D"/>
    <w:rsid w:val="00964A76"/>
    <w:rsid w:val="00970298"/>
    <w:rsid w:val="00990EF8"/>
    <w:rsid w:val="009C12A9"/>
    <w:rsid w:val="009C6099"/>
    <w:rsid w:val="009E7A87"/>
    <w:rsid w:val="00A05E6A"/>
    <w:rsid w:val="00A255BB"/>
    <w:rsid w:val="00A45AB1"/>
    <w:rsid w:val="00A6669B"/>
    <w:rsid w:val="00A84280"/>
    <w:rsid w:val="00A8544E"/>
    <w:rsid w:val="00A96387"/>
    <w:rsid w:val="00AC1498"/>
    <w:rsid w:val="00AD6782"/>
    <w:rsid w:val="00AE53BA"/>
    <w:rsid w:val="00AF1369"/>
    <w:rsid w:val="00AF6F4F"/>
    <w:rsid w:val="00B00450"/>
    <w:rsid w:val="00B27FCB"/>
    <w:rsid w:val="00B36B65"/>
    <w:rsid w:val="00B41027"/>
    <w:rsid w:val="00B4510A"/>
    <w:rsid w:val="00B50747"/>
    <w:rsid w:val="00B732CF"/>
    <w:rsid w:val="00B73D94"/>
    <w:rsid w:val="00B767A2"/>
    <w:rsid w:val="00B77AB7"/>
    <w:rsid w:val="00B77BAF"/>
    <w:rsid w:val="00B91E28"/>
    <w:rsid w:val="00B94753"/>
    <w:rsid w:val="00BA0995"/>
    <w:rsid w:val="00BA5EB9"/>
    <w:rsid w:val="00BB3616"/>
    <w:rsid w:val="00BB5AFF"/>
    <w:rsid w:val="00C14E3A"/>
    <w:rsid w:val="00C36E2B"/>
    <w:rsid w:val="00C56E59"/>
    <w:rsid w:val="00C85CCF"/>
    <w:rsid w:val="00C93003"/>
    <w:rsid w:val="00CA1541"/>
    <w:rsid w:val="00CA5F0F"/>
    <w:rsid w:val="00CB3299"/>
    <w:rsid w:val="00CB7036"/>
    <w:rsid w:val="00CC6752"/>
    <w:rsid w:val="00CC7446"/>
    <w:rsid w:val="00CD1242"/>
    <w:rsid w:val="00CD3BFB"/>
    <w:rsid w:val="00D4285C"/>
    <w:rsid w:val="00D5165A"/>
    <w:rsid w:val="00D86FF0"/>
    <w:rsid w:val="00D93B3E"/>
    <w:rsid w:val="00DA4002"/>
    <w:rsid w:val="00DA6045"/>
    <w:rsid w:val="00DC452B"/>
    <w:rsid w:val="00DF29EF"/>
    <w:rsid w:val="00DF7534"/>
    <w:rsid w:val="00E30E71"/>
    <w:rsid w:val="00E50261"/>
    <w:rsid w:val="00E579B5"/>
    <w:rsid w:val="00E72E4F"/>
    <w:rsid w:val="00E77298"/>
    <w:rsid w:val="00E9355D"/>
    <w:rsid w:val="00EA5A39"/>
    <w:rsid w:val="00EB6239"/>
    <w:rsid w:val="00ED1D34"/>
    <w:rsid w:val="00ED59F8"/>
    <w:rsid w:val="00ED5B39"/>
    <w:rsid w:val="00EE26F1"/>
    <w:rsid w:val="00EE76A3"/>
    <w:rsid w:val="00EE78FD"/>
    <w:rsid w:val="00EF7DF4"/>
    <w:rsid w:val="00F2645F"/>
    <w:rsid w:val="00F50DC7"/>
    <w:rsid w:val="00F96EB5"/>
    <w:rsid w:val="00FB00AC"/>
    <w:rsid w:val="00FB6C01"/>
    <w:rsid w:val="00FC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  <w:pPr>
      <w:spacing w:after="200" w:line="276" w:lineRule="auto"/>
    </w:pPr>
    <w:rPr>
      <w:lang w:val="bs-Latn-B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5A99"/>
    <w:rPr>
      <w:rFonts w:ascii="Cambria" w:hAnsi="Cambria" w:cs="Times New Roman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AF6F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C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C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2CF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92CFD"/>
    <w:rPr>
      <w:rFonts w:cs="Times New Roman"/>
      <w:vertAlign w:val="superscript"/>
    </w:rPr>
  </w:style>
  <w:style w:type="paragraph" w:customStyle="1" w:styleId="Default">
    <w:name w:val="Default"/>
    <w:uiPriority w:val="99"/>
    <w:rsid w:val="006627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/>
    </w:rPr>
  </w:style>
  <w:style w:type="character" w:styleId="Hyperlink">
    <w:name w:val="Hyperlink"/>
    <w:basedOn w:val="DefaultParagraphFont"/>
    <w:uiPriority w:val="99"/>
    <w:rsid w:val="009E7A8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E7A8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5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ravni.ues.rs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525</Words>
  <Characters>2996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GOST</cp:lastModifiedBy>
  <cp:revision>2</cp:revision>
  <cp:lastPrinted>2016-06-01T08:13:00Z</cp:lastPrinted>
  <dcterms:created xsi:type="dcterms:W3CDTF">2022-10-14T10:19:00Z</dcterms:created>
  <dcterms:modified xsi:type="dcterms:W3CDTF">2022-10-14T10:19:00Z</dcterms:modified>
</cp:coreProperties>
</file>