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1A1F18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B53F6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1A1F18" w:rsidRPr="00E24E8F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1A1F18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1A1F18" w:rsidRPr="00E24E8F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A1F18" w:rsidRPr="000178B7" w:rsidTr="000178B7">
        <w:tc>
          <w:tcPr>
            <w:tcW w:w="2048" w:type="dxa"/>
            <w:gridSpan w:val="3"/>
            <w:vMerge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1A1F18" w:rsidRPr="0058001E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A1F18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1A1F18" w:rsidRPr="00E24E8F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CONSTITUTIONAL LAW II</w:t>
            </w:r>
          </w:p>
        </w:tc>
      </w:tr>
      <w:tr w:rsidR="001A1F18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1A1F18" w:rsidRPr="00E24E8F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 for Theory of Law and Public Law</w:t>
            </w:r>
          </w:p>
        </w:tc>
      </w:tr>
      <w:tr w:rsidR="001A1F18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1A1F18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1A1F18" w:rsidRPr="000178B7" w:rsidTr="000178B7">
        <w:tc>
          <w:tcPr>
            <w:tcW w:w="2943" w:type="dxa"/>
            <w:gridSpan w:val="6"/>
            <w:vAlign w:val="center"/>
          </w:tcPr>
          <w:p w:rsidR="001A1F18" w:rsidRPr="00E24E8F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PF-1-4-012</w:t>
            </w:r>
          </w:p>
        </w:tc>
        <w:tc>
          <w:tcPr>
            <w:tcW w:w="2268" w:type="dxa"/>
            <w:gridSpan w:val="5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1A1F18" w:rsidRPr="00E24E8F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IV</w:t>
            </w:r>
          </w:p>
        </w:tc>
        <w:tc>
          <w:tcPr>
            <w:tcW w:w="2286" w:type="dxa"/>
            <w:gridSpan w:val="3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7</w:t>
            </w:r>
          </w:p>
        </w:tc>
      </w:tr>
      <w:tr w:rsidR="001A1F1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58001E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Full Professor Goran Marković, LL.D.</w:t>
            </w:r>
          </w:p>
        </w:tc>
      </w:tr>
      <w:tr w:rsidR="001A1F1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FC7612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-</w:t>
            </w:r>
          </w:p>
        </w:tc>
      </w:tr>
      <w:tr w:rsidR="001A1F18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1A1F18" w:rsidRPr="005A52F6" w:rsidRDefault="001A1F18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1A1F18" w:rsidRPr="000178B7" w:rsidRDefault="001A1F18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1A1F18" w:rsidRPr="000178B7" w:rsidTr="000178B7">
        <w:tc>
          <w:tcPr>
            <w:tcW w:w="1242" w:type="dxa"/>
            <w:shd w:val="clear" w:color="auto" w:fill="F2F2F2"/>
            <w:vAlign w:val="center"/>
          </w:tcPr>
          <w:p w:rsidR="001A1F18" w:rsidRPr="005A52F6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1A1F18" w:rsidRPr="005A52F6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1A1F18" w:rsidRPr="005A52F6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1A1F18" w:rsidRPr="005A52F6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1A1F18" w:rsidRPr="005A52F6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1A1F18" w:rsidRPr="005A52F6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1A1F18" w:rsidRPr="000178B7" w:rsidTr="000178B7">
        <w:tc>
          <w:tcPr>
            <w:tcW w:w="1242" w:type="dxa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1275" w:type="dxa"/>
            <w:gridSpan w:val="2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60</w:t>
            </w:r>
          </w:p>
        </w:tc>
        <w:tc>
          <w:tcPr>
            <w:tcW w:w="1272" w:type="dxa"/>
            <w:gridSpan w:val="3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</w:tr>
      <w:tr w:rsidR="001A1F18" w:rsidRPr="000178B7" w:rsidTr="000178B7">
        <w:tc>
          <w:tcPr>
            <w:tcW w:w="4614" w:type="dxa"/>
            <w:gridSpan w:val="8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45+30+0=75</w:t>
            </w:r>
          </w:p>
        </w:tc>
        <w:tc>
          <w:tcPr>
            <w:tcW w:w="4992" w:type="dxa"/>
            <w:gridSpan w:val="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semester)</w:t>
            </w:r>
          </w:p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3*15*2+2*15*2=150</w:t>
            </w:r>
          </w:p>
        </w:tc>
      </w:tr>
      <w:tr w:rsidR="001A1F18" w:rsidRPr="000178B7" w:rsidTr="000178B7">
        <w:tc>
          <w:tcPr>
            <w:tcW w:w="9606" w:type="dxa"/>
            <w:gridSpan w:val="17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):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75+150=225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semester hours</w:t>
            </w:r>
          </w:p>
        </w:tc>
      </w:tr>
      <w:tr w:rsidR="001A1F1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9E2311" w:rsidRDefault="001A1F18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By mastering this subject, the student will be able </w: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t>to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:</w:t>
            </w:r>
          </w:p>
          <w:p w:rsidR="001A1F18" w:rsidRPr="009E2311" w:rsidRDefault="001A1F18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Learn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the theoretical concepts of constitutional law;</w:t>
            </w:r>
          </w:p>
          <w:p w:rsidR="001A1F18" w:rsidRPr="009E2311" w:rsidRDefault="001A1F18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2.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Learn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the system of constitutional law in Bosnia and Herzegovina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and other modern democracies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>;</w:t>
            </w:r>
          </w:p>
          <w:p w:rsidR="001A1F18" w:rsidRPr="009E2311" w:rsidRDefault="001A1F18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3. Become familiar with the organization and way of functioning of institutions that exercise public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power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>, as well as the relationship between citizens and public authorities;</w:t>
            </w:r>
          </w:p>
          <w:p w:rsidR="001A1F18" w:rsidRPr="00AE4671" w:rsidRDefault="001A1F18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4. Become familiar with the procedures for exercising legislative, executive and judicial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powers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>, as well as procedures for the protection of human rights.</w:t>
            </w:r>
          </w:p>
        </w:tc>
      </w:tr>
      <w:tr w:rsidR="001A1F1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E30C1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507AAC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Student has to pass the exam of the Constitutional Law I.</w:t>
            </w:r>
          </w:p>
        </w:tc>
      </w:tr>
      <w:tr w:rsidR="001A1F1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507AAC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24095E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Ex cathedra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teaching with a lot of interactive activities. Students' orall presentations. Oral tests. Analysis of legal acts.</w:t>
            </w:r>
          </w:p>
        </w:tc>
      </w:tr>
      <w:tr w:rsidR="001A1F1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1A1F18" w:rsidRDefault="001A1F18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Political institutions</w:t>
            </w:r>
            <w:r w:rsidRPr="00B1486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Notion and origins of the parliament. Functions of parliament. Structure of parliament. Organization of parliament.</w:t>
            </w:r>
          </w:p>
          <w:p w:rsidR="001A1F18" w:rsidRDefault="001A1F18" w:rsidP="003F343D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343D">
              <w:rPr>
                <w:rFonts w:ascii="Arial Narrow" w:hAnsi="Arial Narrow"/>
                <w:sz w:val="20"/>
                <w:szCs w:val="20"/>
              </w:rPr>
              <w:t xml:space="preserve">Representative bodies in </w:t>
            </w:r>
            <w:smartTag w:uri="urn:schemas-microsoft-com:office:smarttags" w:element="place">
              <w:smartTag w:uri="urn:schemas-microsoft-com:office:smarttags" w:element="country-region">
                <w:r w:rsidRPr="003F343D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3F343D">
              <w:rPr>
                <w:rFonts w:ascii="Arial Narrow" w:hAnsi="Arial Narrow"/>
                <w:sz w:val="20"/>
                <w:szCs w:val="20"/>
              </w:rPr>
              <w:t>. Parliamentary Assembly of Bosnia and Herzegovina (structure, election, functions, organization); National Assembly of Republika Srpska and the Council of Peoples of the Republika Srpska (structure, election, functions, organization);  Parliament of the Federation of Bosnia and Herzegovina and the assemblies of cantons  (structure, election, functions, organization)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Pr="003F343D" w:rsidRDefault="001A1F18" w:rsidP="003F343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B14867" w:rsidRDefault="001A1F18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Head of State</w:t>
            </w:r>
            <w:r w:rsidRPr="00B1486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Default="001A1F18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notion and origins. Election and organization. Functions. Responsibilities. </w:t>
            </w:r>
          </w:p>
          <w:p w:rsidR="001A1F18" w:rsidRPr="00B14867" w:rsidRDefault="001A1F18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B14867" w:rsidRDefault="001A1F18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Head of State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1486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Default="001A1F18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Presidency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>
              <w:rPr>
                <w:rFonts w:ascii="Arial Narrow" w:hAnsi="Arial Narrow"/>
                <w:sz w:val="20"/>
                <w:szCs w:val="20"/>
              </w:rPr>
              <w:t xml:space="preserve"> (composition, election, mandate, functions, responsibility). President and Vice Presidents of the Republika Srpska (</w:t>
            </w:r>
            <w:r w:rsidRPr="00360ED1">
              <w:rPr>
                <w:rFonts w:ascii="Arial Narrow" w:hAnsi="Arial Narrow"/>
                <w:sz w:val="20"/>
                <w:szCs w:val="20"/>
              </w:rPr>
              <w:t>election, mandate, functions, responsibility</w:t>
            </w:r>
            <w:r>
              <w:rPr>
                <w:rFonts w:ascii="Arial Narrow" w:hAnsi="Arial Narrow"/>
                <w:sz w:val="20"/>
                <w:szCs w:val="20"/>
              </w:rPr>
              <w:t xml:space="preserve">). President and Vice Presidents of the Federation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1A1F18" w:rsidRPr="00B14867" w:rsidRDefault="001A1F18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B14867" w:rsidRDefault="001A1F18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Government</w:t>
            </w:r>
            <w:r w:rsidRPr="00B1486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Default="001A1F18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Notion and origins. Election and composition. Types of governments. Functions. Collective responsibility of government and inidividual responsibility of ministers.</w:t>
            </w:r>
          </w:p>
          <w:p w:rsidR="001A1F18" w:rsidRDefault="001A1F18" w:rsidP="004D234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Government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>
              <w:rPr>
                <w:rFonts w:ascii="Arial Narrow" w:hAnsi="Arial Narrow"/>
                <w:sz w:val="20"/>
                <w:szCs w:val="20"/>
              </w:rPr>
              <w:t xml:space="preserve">. Council of Ministers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>
              <w:t xml:space="preserve"> </w:t>
            </w:r>
            <w:r w:rsidRPr="004D2345">
              <w:rPr>
                <w:rFonts w:ascii="Arial Narrow" w:hAnsi="Arial Narrow"/>
                <w:sz w:val="20"/>
                <w:szCs w:val="20"/>
              </w:rPr>
              <w:t>(composition, election, mandate, competences, responsibility)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4D2345">
              <w:rPr>
                <w:rFonts w:ascii="Arial Narrow" w:hAnsi="Arial Narrow"/>
                <w:sz w:val="20"/>
                <w:szCs w:val="20"/>
              </w:rPr>
              <w:t xml:space="preserve"> Government of the Republi</w:t>
            </w:r>
            <w:r>
              <w:rPr>
                <w:rFonts w:ascii="Arial Narrow" w:hAnsi="Arial Narrow"/>
                <w:sz w:val="20"/>
                <w:szCs w:val="20"/>
              </w:rPr>
              <w:t>ka</w:t>
            </w:r>
            <w:r w:rsidRPr="004D2345">
              <w:rPr>
                <w:rFonts w:ascii="Arial Narrow" w:hAnsi="Arial Narrow"/>
                <w:sz w:val="20"/>
                <w:szCs w:val="20"/>
              </w:rPr>
              <w:t xml:space="preserve"> Srpska (composition, election, mandate, competences, responsibility)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4D2345">
              <w:rPr>
                <w:rFonts w:ascii="Arial Narrow" w:hAnsi="Arial Narrow"/>
                <w:sz w:val="20"/>
                <w:szCs w:val="20"/>
              </w:rPr>
              <w:t xml:space="preserve"> Government of the Federation of </w:t>
            </w:r>
            <w:smartTag w:uri="urn:schemas-microsoft-com:office:smarttags" w:element="place">
              <w:smartTag w:uri="urn:schemas-microsoft-com:office:smarttags" w:element="country-region">
                <w:r w:rsidRPr="004D2345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4D2345">
              <w:rPr>
                <w:rFonts w:ascii="Arial Narrow" w:hAnsi="Arial Narrow"/>
                <w:sz w:val="20"/>
                <w:szCs w:val="20"/>
              </w:rPr>
              <w:t xml:space="preserve"> (composition, election, mandate, competences, responsibility)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4D234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4D2345">
              <w:rPr>
                <w:rFonts w:ascii="Arial Narrow" w:hAnsi="Arial Narrow"/>
                <w:sz w:val="20"/>
                <w:szCs w:val="20"/>
              </w:rPr>
              <w:t>antonal governments.</w:t>
            </w:r>
          </w:p>
          <w:p w:rsidR="001A1F18" w:rsidRDefault="001A1F18" w:rsidP="004D234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4D23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345">
              <w:rPr>
                <w:rFonts w:ascii="Arial Narrow" w:hAnsi="Arial Narrow"/>
                <w:sz w:val="20"/>
                <w:szCs w:val="20"/>
              </w:rPr>
              <w:t>Army and police.</w:t>
            </w:r>
          </w:p>
          <w:p w:rsidR="001A1F18" w:rsidRDefault="001A1F18" w:rsidP="00B0457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345">
              <w:rPr>
                <w:rFonts w:ascii="Arial Narrow" w:hAnsi="Arial Narrow"/>
                <w:sz w:val="20"/>
                <w:szCs w:val="20"/>
              </w:rPr>
              <w:t xml:space="preserve">Concept and forms of army; Organization and position of the army; Concept and role of the police; Army and police in the constitutional system of </w:t>
            </w:r>
            <w:smartTag w:uri="urn:schemas-microsoft-com:office:smarttags" w:element="place">
              <w:smartTag w:uri="urn:schemas-microsoft-com:office:smarttags" w:element="country-region">
                <w:r w:rsidRPr="004D2345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4D2345">
              <w:rPr>
                <w:rFonts w:ascii="Arial Narrow" w:hAnsi="Arial Narrow"/>
                <w:sz w:val="20"/>
                <w:szCs w:val="20"/>
              </w:rPr>
              <w:t xml:space="preserve"> and the entities.</w:t>
            </w:r>
          </w:p>
          <w:p w:rsidR="001A1F18" w:rsidRDefault="001A1F18" w:rsidP="00B0457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045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>Forms of state organization.</w:t>
            </w:r>
          </w:p>
          <w:p w:rsidR="001A1F18" w:rsidRDefault="001A1F18" w:rsidP="00B0457A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0457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>Concept and types of forms of state organization; Unitary (simple) state; The concept of federalism; Concept of federal state; The relationship between federation and confederation; Reasons for the formation of the federation; Types of federations (federations created by the method of aggregation and devolution, federations with mono-national and multi-national population, federations with a permanent and variable structure, federations with ordinary and mixed composition).</w:t>
            </w:r>
          </w:p>
          <w:p w:rsidR="001A1F18" w:rsidRDefault="001A1F18" w:rsidP="00B0457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045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>Position of federal units in the federation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Default="001A1F18" w:rsidP="00B0457A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F1454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B0457A">
              <w:rPr>
                <w:rFonts w:ascii="Arial Narrow" w:hAnsi="Arial Narrow"/>
                <w:sz w:val="20"/>
                <w:szCs w:val="20"/>
              </w:rPr>
              <w:t>rinciples of the federation (principle of supremacy of the federation, principle of autonomy of federal units, principle of participation of federal units). Division of jurisdiction in the federation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Division of jurisdiction in the constitutions of </w:t>
            </w:r>
            <w:smartTag w:uri="urn:schemas-microsoft-com:office:smarttags" w:element="country-region">
              <w:r w:rsidRPr="00B0457A">
                <w:rPr>
                  <w:rFonts w:ascii="Arial Narrow" w:hAnsi="Arial Narrow"/>
                  <w:sz w:val="20"/>
                  <w:szCs w:val="20"/>
                </w:rPr>
                <w:t>Bosnia and Herzegovina</w:t>
              </w:r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 and the Federation of </w:t>
            </w:r>
            <w:smartTag w:uri="urn:schemas-microsoft-com:office:smarttags" w:element="place">
              <w:smartTag w:uri="urn:schemas-microsoft-com:office:smarttags" w:element="country-region">
                <w:r w:rsidRPr="00B0457A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. The form of state organization of </w:t>
            </w:r>
            <w:smartTag w:uri="urn:schemas-microsoft-com:office:smarttags" w:element="place">
              <w:smartTag w:uri="urn:schemas-microsoft-com:office:smarttags" w:element="country-region">
                <w:r w:rsidRPr="00B0457A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 and entities.</w:t>
            </w:r>
          </w:p>
          <w:p w:rsidR="001A1F18" w:rsidRDefault="001A1F18" w:rsidP="00F1454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F14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454D">
              <w:rPr>
                <w:rFonts w:ascii="Arial Narrow" w:hAnsi="Arial Narrow"/>
                <w:sz w:val="20"/>
                <w:szCs w:val="20"/>
              </w:rPr>
              <w:t>Forms of territorial decentralization.</w:t>
            </w:r>
          </w:p>
          <w:p w:rsidR="001A1F18" w:rsidRPr="00F1454D" w:rsidRDefault="001A1F18" w:rsidP="00F1454D">
            <w:p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F1454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454D">
              <w:rPr>
                <w:rFonts w:ascii="Arial Narrow" w:hAnsi="Arial Narrow"/>
                <w:sz w:val="20"/>
                <w:szCs w:val="20"/>
              </w:rPr>
              <w:t>The concept of territorial decentralization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Deconcentration and decentralization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Territorial autonomy (concept, forms). Local government. The concept of local self-government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Local self-government systems.</w:t>
            </w:r>
          </w:p>
          <w:p w:rsidR="001A1F18" w:rsidRDefault="001A1F18" w:rsidP="00F1454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F1454D" w:rsidRDefault="001A1F18" w:rsidP="00F14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454D">
              <w:rPr>
                <w:rFonts w:ascii="Arial Narrow" w:hAnsi="Arial Narrow"/>
                <w:sz w:val="20"/>
                <w:szCs w:val="20"/>
              </w:rPr>
              <w:t xml:space="preserve">Local self-government in </w:t>
            </w:r>
            <w:smartTag w:uri="urn:schemas-microsoft-com:office:smarttags" w:element="place">
              <w:smartTag w:uri="urn:schemas-microsoft-com:office:smarttags" w:element="country-region">
                <w:r w:rsidRPr="00F1454D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F1454D">
              <w:rPr>
                <w:rFonts w:ascii="Arial Narrow" w:hAnsi="Arial Narrow"/>
                <w:sz w:val="20"/>
                <w:szCs w:val="20"/>
              </w:rPr>
              <w:t xml:space="preserve">. Brčko District of </w:t>
            </w:r>
            <w:smartTag w:uri="urn:schemas-microsoft-com:office:smarttags" w:element="place">
              <w:smartTag w:uri="urn:schemas-microsoft-com:office:smarttags" w:element="country-region">
                <w:r w:rsidRPr="00F1454D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F1454D">
              <w:rPr>
                <w:rFonts w:ascii="Arial Narrow" w:hAnsi="Arial Narrow"/>
                <w:sz w:val="20"/>
                <w:szCs w:val="20"/>
              </w:rPr>
              <w:t xml:space="preserve">. Establishment of the Brčko District of </w:t>
            </w:r>
            <w:smartTag w:uri="urn:schemas-microsoft-com:office:smarttags" w:element="place">
              <w:smartTag w:uri="urn:schemas-microsoft-com:office:smarttags" w:element="country-region">
                <w:r w:rsidRPr="00F1454D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Jurisdictions of the District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Organization of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поњер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in the District; Legal nature of Brčko District.</w:t>
            </w:r>
          </w:p>
          <w:p w:rsidR="001A1F18" w:rsidRPr="00B0457A" w:rsidRDefault="001A1F18" w:rsidP="00F1454D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F14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>The rule of law.</w:t>
            </w:r>
          </w:p>
          <w:p w:rsidR="001A1F18" w:rsidRPr="00F1454D" w:rsidRDefault="001A1F18" w:rsidP="00F1454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F1454D" w:rsidRDefault="001A1F18" w:rsidP="00F1454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454D">
              <w:rPr>
                <w:rFonts w:ascii="Arial Narrow" w:hAnsi="Arial Narrow"/>
                <w:sz w:val="20"/>
                <w:szCs w:val="20"/>
              </w:rPr>
              <w:t>The concept and principles of the rule of law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The origin of the idea of </w:t>
            </w:r>
            <w:r w:rsidRPr="00F1454D">
              <w:rPr>
                <w:rFonts w:ascii="Arial" w:hAnsi="Arial" w:cs="Arial"/>
                <w:sz w:val="20"/>
                <w:szCs w:val="20"/>
              </w:rPr>
              <w:t>​​</w:t>
            </w:r>
            <w:r w:rsidRPr="00F1454D">
              <w:rPr>
                <w:rFonts w:ascii="Arial Narrow" w:hAnsi="Arial Narrow"/>
                <w:sz w:val="20"/>
                <w:szCs w:val="20"/>
              </w:rPr>
              <w:t>the rule of law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 The relationship between the concepts of the rule of law and the </w:t>
            </w:r>
            <w:r>
              <w:rPr>
                <w:rFonts w:ascii="Arial Narrow" w:hAnsi="Arial Narrow"/>
                <w:sz w:val="20"/>
                <w:szCs w:val="20"/>
              </w:rPr>
              <w:t>Rechtsstaat</w:t>
            </w:r>
            <w:r w:rsidRPr="00F1454D">
              <w:rPr>
                <w:rFonts w:ascii="Arial Narrow" w:hAnsi="Arial Narrow"/>
                <w:sz w:val="20"/>
                <w:szCs w:val="20"/>
              </w:rPr>
              <w:t xml:space="preserve">; Different understandings of the rule of law and the </w:t>
            </w:r>
            <w:r>
              <w:rPr>
                <w:rFonts w:ascii="Arial Narrow" w:hAnsi="Arial Narrow"/>
                <w:sz w:val="20"/>
                <w:szCs w:val="20"/>
              </w:rPr>
              <w:t>Rechtsstaat</w:t>
            </w:r>
            <w:r w:rsidRPr="00F1454D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Pr="00B0457A" w:rsidRDefault="001A1F18" w:rsidP="00F1454D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B0457A" w:rsidRDefault="001A1F18" w:rsidP="00B045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>Judicial system. Institutions of the judicial system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Constitutional principles on courts.</w:t>
            </w:r>
          </w:p>
          <w:p w:rsidR="001A1F18" w:rsidRPr="00B0457A" w:rsidRDefault="001A1F18" w:rsidP="00351DB4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045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 xml:space="preserve">Judicial power in </w:t>
            </w:r>
            <w:smartTag w:uri="urn:schemas-microsoft-com:office:smarttags" w:element="place">
              <w:smartTag w:uri="urn:schemas-microsoft-com:office:smarttags" w:element="country-region">
                <w:r w:rsidRPr="00B0457A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. Organization of the judiciary in </w:t>
            </w:r>
            <w:smartTag w:uri="urn:schemas-microsoft-com:office:smarttags" w:element="place">
              <w:smartTag w:uri="urn:schemas-microsoft-com:office:smarttags" w:element="country-region">
                <w:r w:rsidRPr="00B0457A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 and entities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Conditions and procedure for appoint</w:t>
            </w:r>
            <w:r>
              <w:rPr>
                <w:rFonts w:ascii="Arial Narrow" w:hAnsi="Arial Narrow"/>
                <w:sz w:val="20"/>
                <w:szCs w:val="20"/>
              </w:rPr>
              <w:t>ment of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judges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Jurisdiction of the courts. Prosecutor's Office. Organization of the prosecutorial function in </w:t>
            </w:r>
            <w:smartTag w:uri="urn:schemas-microsoft-com:office:smarttags" w:element="place">
              <w:smartTag w:uri="urn:schemas-microsoft-com:office:smarttags" w:element="country-region">
                <w:r w:rsidRPr="00B0457A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 and entities; Conditions and procedure for appoint</w:t>
            </w:r>
            <w:r>
              <w:rPr>
                <w:rFonts w:ascii="Arial Narrow" w:hAnsi="Arial Narrow"/>
                <w:sz w:val="20"/>
                <w:szCs w:val="20"/>
              </w:rPr>
              <w:t>ment of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prosecutors; Jurisdiction of the prosecutor's office.</w:t>
            </w:r>
          </w:p>
          <w:p w:rsidR="001A1F18" w:rsidRPr="00351DB4" w:rsidRDefault="001A1F18" w:rsidP="00351DB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B045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 xml:space="preserve">Other institutions of the judicial system. Attorney's Office (jurisdiction, terms and procedure of appointment and organization in </w:t>
            </w:r>
            <w:smartTag w:uri="urn:schemas-microsoft-com:office:smarttags" w:element="country-region">
              <w:r w:rsidRPr="00B0457A">
                <w:rPr>
                  <w:rFonts w:ascii="Arial Narrow" w:hAnsi="Arial Narrow"/>
                  <w:sz w:val="20"/>
                  <w:szCs w:val="20"/>
                </w:rPr>
                <w:t>Bosnia and Herzegovina</w:t>
              </w:r>
            </w:smartTag>
            <w:r w:rsidRPr="00B0457A">
              <w:rPr>
                <w:rFonts w:ascii="Arial Narrow" w:hAnsi="Arial Narrow"/>
                <w:sz w:val="20"/>
                <w:szCs w:val="20"/>
              </w:rPr>
              <w:t xml:space="preserve"> and entities); Advocacy (concept, conditions for practice, organization); Ombuds</w:t>
            </w:r>
            <w:r>
              <w:rPr>
                <w:rFonts w:ascii="Arial Narrow" w:hAnsi="Arial Narrow"/>
                <w:sz w:val="20"/>
                <w:szCs w:val="20"/>
              </w:rPr>
              <w:t>man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(term, origin, organization, competences, institution of the ombudsman in </w:t>
            </w:r>
            <w:smartTag w:uri="urn:schemas-microsoft-com:office:smarttags" w:element="place">
              <w:smartTag w:uri="urn:schemas-microsoft-com:office:smarttags" w:element="country-region">
                <w:r w:rsidRPr="00B0457A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0457A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0457A">
              <w:rPr>
                <w:rFonts w:ascii="Arial Narrow" w:hAnsi="Arial Narrow"/>
                <w:sz w:val="20"/>
                <w:szCs w:val="20"/>
              </w:rPr>
              <w:t xml:space="preserve"> Notary.</w:t>
            </w:r>
          </w:p>
          <w:p w:rsidR="001A1F18" w:rsidRPr="00351DB4" w:rsidRDefault="001A1F18" w:rsidP="00351DB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Pr="00351DB4" w:rsidRDefault="001A1F18" w:rsidP="00351D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457A">
              <w:rPr>
                <w:rFonts w:ascii="Arial Narrow" w:hAnsi="Arial Narrow"/>
                <w:sz w:val="20"/>
                <w:szCs w:val="20"/>
              </w:rPr>
              <w:t>Constitutional Court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0457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A1F18" w:rsidRDefault="001A1F18" w:rsidP="00351DB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A1F18" w:rsidRDefault="001A1F18" w:rsidP="00351DB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1DB4">
              <w:rPr>
                <w:rFonts w:ascii="Arial Narrow" w:hAnsi="Arial Narrow"/>
                <w:sz w:val="20"/>
                <w:szCs w:val="20"/>
              </w:rPr>
              <w:t>Concept of constitutionality and legality; Systems for the protection of constitutionality and legality; Concept and importance of constitutional judiciary; Functions of constitutional courts; Systems of constitutional justice; Selection and composition of constitutional courts; Proceedings before constitutional courts; Effect of decisions of constitutional courts.</w:t>
            </w:r>
          </w:p>
          <w:p w:rsidR="001A1F18" w:rsidRPr="00351DB4" w:rsidRDefault="001A1F18" w:rsidP="00351DB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1DB4">
              <w:rPr>
                <w:rFonts w:ascii="Arial Narrow" w:hAnsi="Arial Narrow"/>
                <w:sz w:val="20"/>
                <w:szCs w:val="20"/>
              </w:rPr>
              <w:t>Constitutional Court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351DB4">
              <w:rPr>
                <w:rFonts w:ascii="Arial Narrow" w:hAnsi="Arial Narrow"/>
                <w:sz w:val="20"/>
                <w:szCs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351DB4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351DB4">
              <w:rPr>
                <w:rFonts w:ascii="Arial Narrow" w:hAnsi="Arial Narrow"/>
                <w:sz w:val="20"/>
                <w:szCs w:val="20"/>
              </w:rPr>
              <w:t>. Constitutional Court of Bosnia and Herzegovina; Constitutional Court of the Republi</w:t>
            </w:r>
            <w:r>
              <w:rPr>
                <w:rFonts w:ascii="Arial Narrow" w:hAnsi="Arial Narrow"/>
                <w:sz w:val="20"/>
                <w:szCs w:val="20"/>
              </w:rPr>
              <w:t>ka</w:t>
            </w:r>
            <w:r w:rsidRPr="00351DB4">
              <w:rPr>
                <w:rFonts w:ascii="Arial Narrow" w:hAnsi="Arial Narrow"/>
                <w:sz w:val="20"/>
                <w:szCs w:val="20"/>
              </w:rPr>
              <w:t xml:space="preserve"> Srpska; Constitutional Court of the Federation of </w:t>
            </w:r>
            <w:smartTag w:uri="urn:schemas-microsoft-com:office:smarttags" w:element="place">
              <w:smartTag w:uri="urn:schemas-microsoft-com:office:smarttags" w:element="country-region">
                <w:r w:rsidRPr="00351DB4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351DB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A1F18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1A1F18" w:rsidRPr="00E30C1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1A1F18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1A1F18" w:rsidRPr="000178B7" w:rsidTr="000178B7">
        <w:tc>
          <w:tcPr>
            <w:tcW w:w="2512" w:type="dxa"/>
            <w:gridSpan w:val="4"/>
            <w:vAlign w:val="center"/>
          </w:tcPr>
          <w:p w:rsidR="001A1F18" w:rsidRPr="00E30C1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M. Tushnet, T. Fleiner, C. Saunders (eds.)</w:t>
            </w:r>
          </w:p>
        </w:tc>
        <w:tc>
          <w:tcPr>
            <w:tcW w:w="4255" w:type="dxa"/>
            <w:gridSpan w:val="9"/>
            <w:vAlign w:val="center"/>
          </w:tcPr>
          <w:p w:rsidR="001A1F18" w:rsidRPr="008B5BEF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Routledge Handbook of Constitutional Law</w:t>
            </w:r>
          </w:p>
        </w:tc>
        <w:tc>
          <w:tcPr>
            <w:tcW w:w="850" w:type="dxa"/>
            <w:gridSpan w:val="2"/>
            <w:vAlign w:val="center"/>
          </w:tcPr>
          <w:p w:rsidR="001A1F18" w:rsidRPr="008B5BEF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2013</w:t>
            </w:r>
          </w:p>
        </w:tc>
        <w:tc>
          <w:tcPr>
            <w:tcW w:w="1989" w:type="dxa"/>
            <w:gridSpan w:val="2"/>
            <w:vAlign w:val="center"/>
          </w:tcPr>
          <w:p w:rsidR="001A1F18" w:rsidRPr="00267F46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Part II (except chapter 10)</w:t>
            </w:r>
          </w:p>
        </w:tc>
      </w:tr>
      <w:tr w:rsidR="001A1F18" w:rsidRPr="000178B7" w:rsidTr="000178B7">
        <w:tc>
          <w:tcPr>
            <w:tcW w:w="2512" w:type="dxa"/>
            <w:gridSpan w:val="4"/>
            <w:vAlign w:val="center"/>
          </w:tcPr>
          <w:p w:rsidR="001A1F18" w:rsidRPr="00267F46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Carl Friedrich</w:t>
            </w:r>
          </w:p>
        </w:tc>
        <w:tc>
          <w:tcPr>
            <w:tcW w:w="4255" w:type="dxa"/>
            <w:gridSpan w:val="9"/>
            <w:vAlign w:val="center"/>
          </w:tcPr>
          <w:p w:rsidR="001A1F18" w:rsidRPr="00353C5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Constitutional Government and Democracy</w:t>
            </w:r>
          </w:p>
        </w:tc>
        <w:tc>
          <w:tcPr>
            <w:tcW w:w="850" w:type="dxa"/>
            <w:gridSpan w:val="2"/>
            <w:vAlign w:val="center"/>
          </w:tcPr>
          <w:p w:rsidR="001A1F18" w:rsidRPr="00267F46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Any edition</w:t>
            </w:r>
          </w:p>
        </w:tc>
        <w:tc>
          <w:tcPr>
            <w:tcW w:w="1989" w:type="dxa"/>
            <w:gridSpan w:val="2"/>
            <w:vAlign w:val="center"/>
          </w:tcPr>
          <w:p w:rsidR="001A1F18" w:rsidRPr="00267F46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Part 2 (ch. XI, XII, XIII, XIV, XVI, XVII, XVIII).</w:t>
            </w:r>
          </w:p>
        </w:tc>
      </w:tr>
      <w:tr w:rsidR="001A1F18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1A1F18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1A1F18" w:rsidRPr="000178B7" w:rsidTr="000178B7">
        <w:tc>
          <w:tcPr>
            <w:tcW w:w="2512" w:type="dxa"/>
            <w:gridSpan w:val="4"/>
            <w:vAlign w:val="center"/>
          </w:tcPr>
          <w:p w:rsidR="001A1F18" w:rsidRPr="00FB7D1F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1A1F18" w:rsidRPr="00FB7D1F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A1F18" w:rsidRPr="008516EC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F18" w:rsidRPr="00353C5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1A1F18" w:rsidRPr="000178B7" w:rsidTr="000178B7">
        <w:tc>
          <w:tcPr>
            <w:tcW w:w="2512" w:type="dxa"/>
            <w:gridSpan w:val="4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A1F18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1A1F18" w:rsidRPr="00E30C17" w:rsidRDefault="001A1F1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1A1F18" w:rsidRPr="00E30C17" w:rsidRDefault="001A1F1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1A1F18" w:rsidRPr="00E30C17" w:rsidRDefault="001A1F1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1A1F18" w:rsidRPr="00E30C17" w:rsidRDefault="001A1F1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1A1F18" w:rsidRPr="00E30C17" w:rsidRDefault="001A1F1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1A1F18" w:rsidRPr="00FB7D1F" w:rsidRDefault="001A1F1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Attendance at lectures</w:t>
            </w:r>
          </w:p>
        </w:tc>
        <w:tc>
          <w:tcPr>
            <w:tcW w:w="992" w:type="dxa"/>
            <w:gridSpan w:val="2"/>
            <w:vAlign w:val="center"/>
          </w:tcPr>
          <w:p w:rsidR="001A1F18" w:rsidRPr="00FF2B99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:rsidR="001A1F18" w:rsidRPr="00FF2B99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20%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1A1F18" w:rsidRPr="00FB7D1F" w:rsidRDefault="001A1F1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Mid-term paper (seminar paper)</w:t>
            </w:r>
          </w:p>
        </w:tc>
        <w:tc>
          <w:tcPr>
            <w:tcW w:w="992" w:type="dxa"/>
            <w:gridSpan w:val="2"/>
            <w:vAlign w:val="center"/>
          </w:tcPr>
          <w:p w:rsidR="001A1F18" w:rsidRPr="00FF2B99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:rsidR="001A1F18" w:rsidRPr="00FF2B99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5%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1A1F18" w:rsidRPr="00FB7D1F" w:rsidRDefault="001A1F1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Test/qolloquium</w:t>
            </w:r>
          </w:p>
        </w:tc>
        <w:tc>
          <w:tcPr>
            <w:tcW w:w="992" w:type="dxa"/>
            <w:gridSpan w:val="2"/>
            <w:vAlign w:val="center"/>
          </w:tcPr>
          <w:p w:rsidR="001A1F18" w:rsidRPr="004D49C0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:rsidR="001A1F18" w:rsidRPr="004D49C0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25%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1A1F18" w:rsidRPr="000178B7" w:rsidRDefault="001A1F1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inal exam (oral)</w:t>
            </w:r>
          </w:p>
        </w:tc>
        <w:tc>
          <w:tcPr>
            <w:tcW w:w="992" w:type="dxa"/>
            <w:gridSpan w:val="2"/>
            <w:vAlign w:val="center"/>
          </w:tcPr>
          <w:p w:rsidR="001A1F18" w:rsidRPr="00FF2B99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:rsidR="001A1F18" w:rsidRPr="00FF2B99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50%</w:t>
            </w:r>
          </w:p>
        </w:tc>
      </w:tr>
      <w:tr w:rsidR="001A1F1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1A1F18" w:rsidRPr="00CC4CD5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4D49C0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www.pravni.ues.rs.ba</w:t>
            </w:r>
          </w:p>
        </w:tc>
      </w:tr>
      <w:tr w:rsidR="001A1F18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1A1F18" w:rsidRPr="000178B7" w:rsidRDefault="001A1F1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1A1F18" w:rsidRPr="004D49C0" w:rsidRDefault="001A1F1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................................</w:t>
            </w:r>
          </w:p>
        </w:tc>
      </w:tr>
    </w:tbl>
    <w:p w:rsidR="001A1F18" w:rsidRDefault="001A1F18">
      <w:pPr>
        <w:rPr>
          <w:rFonts w:ascii="Arial Narrow" w:hAnsi="Arial Narrow"/>
          <w:sz w:val="18"/>
          <w:szCs w:val="20"/>
          <w:lang w:val="sr-Cyrl-BA"/>
        </w:rPr>
      </w:pPr>
    </w:p>
    <w:p w:rsidR="001A1F18" w:rsidRPr="00BB3616" w:rsidRDefault="001A1F18">
      <w:pPr>
        <w:rPr>
          <w:rFonts w:ascii="Arial Narrow" w:hAnsi="Arial Narrow"/>
          <w:sz w:val="18"/>
          <w:szCs w:val="20"/>
          <w:lang w:val="sr-Cyrl-BA"/>
        </w:rPr>
      </w:pPr>
    </w:p>
    <w:sectPr w:rsidR="001A1F18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18" w:rsidRDefault="001A1F18" w:rsidP="00662C2A">
      <w:pPr>
        <w:spacing w:after="0" w:line="240" w:lineRule="auto"/>
      </w:pPr>
      <w:r>
        <w:separator/>
      </w:r>
    </w:p>
  </w:endnote>
  <w:endnote w:type="continuationSeparator" w:id="0">
    <w:p w:rsidR="001A1F18" w:rsidRDefault="001A1F18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8" w:rsidRDefault="001A1F18">
    <w:pPr>
      <w:pStyle w:val="Footer"/>
      <w:jc w:val="right"/>
    </w:pPr>
  </w:p>
  <w:p w:rsidR="001A1F18" w:rsidRDefault="001A1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18" w:rsidRDefault="001A1F18" w:rsidP="00662C2A">
      <w:pPr>
        <w:spacing w:after="0" w:line="240" w:lineRule="auto"/>
      </w:pPr>
      <w:r>
        <w:separator/>
      </w:r>
    </w:p>
  </w:footnote>
  <w:footnote w:type="continuationSeparator" w:id="0">
    <w:p w:rsidR="001A1F18" w:rsidRDefault="001A1F18" w:rsidP="00662C2A">
      <w:pPr>
        <w:spacing w:after="0" w:line="240" w:lineRule="auto"/>
      </w:pPr>
      <w:r>
        <w:continuationSeparator/>
      </w:r>
    </w:p>
  </w:footnote>
  <w:footnote w:id="1">
    <w:p w:rsidR="001A1F18" w:rsidRPr="00ED59F8" w:rsidRDefault="001A1F18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1A1F18" w:rsidRPr="00BB3616" w:rsidRDefault="001A1F18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1A1F18" w:rsidRDefault="001A1F18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6BE"/>
    <w:multiLevelType w:val="hybridMultilevel"/>
    <w:tmpl w:val="F792443A"/>
    <w:lvl w:ilvl="0" w:tplc="119E3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0542A"/>
    <w:multiLevelType w:val="hybridMultilevel"/>
    <w:tmpl w:val="2C3AF9B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111F6"/>
    <w:rsid w:val="00142472"/>
    <w:rsid w:val="00154784"/>
    <w:rsid w:val="00177337"/>
    <w:rsid w:val="00191E6E"/>
    <w:rsid w:val="001964CB"/>
    <w:rsid w:val="001A1F18"/>
    <w:rsid w:val="001A1F45"/>
    <w:rsid w:val="001B53F6"/>
    <w:rsid w:val="001B6A8D"/>
    <w:rsid w:val="001E27BB"/>
    <w:rsid w:val="001F16FD"/>
    <w:rsid w:val="00213FF6"/>
    <w:rsid w:val="0023374F"/>
    <w:rsid w:val="00240279"/>
    <w:rsid w:val="0024095E"/>
    <w:rsid w:val="00267F46"/>
    <w:rsid w:val="00275302"/>
    <w:rsid w:val="002833F0"/>
    <w:rsid w:val="002971B8"/>
    <w:rsid w:val="002B0879"/>
    <w:rsid w:val="002C515A"/>
    <w:rsid w:val="002D4025"/>
    <w:rsid w:val="002F305E"/>
    <w:rsid w:val="002F503C"/>
    <w:rsid w:val="00322925"/>
    <w:rsid w:val="00337B41"/>
    <w:rsid w:val="00351DB4"/>
    <w:rsid w:val="00353C57"/>
    <w:rsid w:val="00355B14"/>
    <w:rsid w:val="00360ED1"/>
    <w:rsid w:val="0037103D"/>
    <w:rsid w:val="003848E7"/>
    <w:rsid w:val="0039359F"/>
    <w:rsid w:val="003A52B9"/>
    <w:rsid w:val="003B5A99"/>
    <w:rsid w:val="003D203B"/>
    <w:rsid w:val="003F343D"/>
    <w:rsid w:val="00421F85"/>
    <w:rsid w:val="0043206D"/>
    <w:rsid w:val="00446201"/>
    <w:rsid w:val="0045526A"/>
    <w:rsid w:val="00473870"/>
    <w:rsid w:val="00487DAA"/>
    <w:rsid w:val="00493714"/>
    <w:rsid w:val="004D2345"/>
    <w:rsid w:val="004D49C0"/>
    <w:rsid w:val="004E4F63"/>
    <w:rsid w:val="004F4020"/>
    <w:rsid w:val="00507AAC"/>
    <w:rsid w:val="00545329"/>
    <w:rsid w:val="00550AD9"/>
    <w:rsid w:val="00564658"/>
    <w:rsid w:val="0058001E"/>
    <w:rsid w:val="00581BDB"/>
    <w:rsid w:val="00592CFD"/>
    <w:rsid w:val="005A39F3"/>
    <w:rsid w:val="005A52F6"/>
    <w:rsid w:val="005B5014"/>
    <w:rsid w:val="005C17DB"/>
    <w:rsid w:val="005E7DCA"/>
    <w:rsid w:val="00605934"/>
    <w:rsid w:val="00620598"/>
    <w:rsid w:val="00621E22"/>
    <w:rsid w:val="00623F30"/>
    <w:rsid w:val="00645AF3"/>
    <w:rsid w:val="00662C2A"/>
    <w:rsid w:val="00686EE2"/>
    <w:rsid w:val="00696562"/>
    <w:rsid w:val="006F0D88"/>
    <w:rsid w:val="00707181"/>
    <w:rsid w:val="00711B2D"/>
    <w:rsid w:val="00720EA3"/>
    <w:rsid w:val="00737A2E"/>
    <w:rsid w:val="00741E90"/>
    <w:rsid w:val="0074523D"/>
    <w:rsid w:val="007810C4"/>
    <w:rsid w:val="007A7335"/>
    <w:rsid w:val="007B5A31"/>
    <w:rsid w:val="007C18B3"/>
    <w:rsid w:val="007D4D9B"/>
    <w:rsid w:val="007F01D5"/>
    <w:rsid w:val="00817290"/>
    <w:rsid w:val="00834BB9"/>
    <w:rsid w:val="008516EC"/>
    <w:rsid w:val="0089426E"/>
    <w:rsid w:val="008A1B06"/>
    <w:rsid w:val="008A5AAE"/>
    <w:rsid w:val="008A65AD"/>
    <w:rsid w:val="008B3F43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9E2311"/>
    <w:rsid w:val="00A05E6A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0457A"/>
    <w:rsid w:val="00B11651"/>
    <w:rsid w:val="00B12D1B"/>
    <w:rsid w:val="00B14867"/>
    <w:rsid w:val="00B27FCB"/>
    <w:rsid w:val="00B36B65"/>
    <w:rsid w:val="00B41027"/>
    <w:rsid w:val="00B45213"/>
    <w:rsid w:val="00B732CF"/>
    <w:rsid w:val="00B73D94"/>
    <w:rsid w:val="00B91E28"/>
    <w:rsid w:val="00B94753"/>
    <w:rsid w:val="00BB3616"/>
    <w:rsid w:val="00BB5AFF"/>
    <w:rsid w:val="00BF18C7"/>
    <w:rsid w:val="00C36E2B"/>
    <w:rsid w:val="00C85CCF"/>
    <w:rsid w:val="00C93003"/>
    <w:rsid w:val="00CB3299"/>
    <w:rsid w:val="00CB7036"/>
    <w:rsid w:val="00CC4CD5"/>
    <w:rsid w:val="00CC6752"/>
    <w:rsid w:val="00CC7446"/>
    <w:rsid w:val="00CD1242"/>
    <w:rsid w:val="00D328BD"/>
    <w:rsid w:val="00D4285C"/>
    <w:rsid w:val="00D46A86"/>
    <w:rsid w:val="00D86FF0"/>
    <w:rsid w:val="00D93B3E"/>
    <w:rsid w:val="00DC452B"/>
    <w:rsid w:val="00DF29EF"/>
    <w:rsid w:val="00E24E8F"/>
    <w:rsid w:val="00E30C17"/>
    <w:rsid w:val="00E50261"/>
    <w:rsid w:val="00E579B5"/>
    <w:rsid w:val="00E72E4F"/>
    <w:rsid w:val="00E77298"/>
    <w:rsid w:val="00ED59F8"/>
    <w:rsid w:val="00F135BE"/>
    <w:rsid w:val="00F1454D"/>
    <w:rsid w:val="00F2645F"/>
    <w:rsid w:val="00FB7D1F"/>
    <w:rsid w:val="00FC0946"/>
    <w:rsid w:val="00FC7612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1078</Words>
  <Characters>6145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2022-10-14T10:10:00Z</dcterms:created>
  <dcterms:modified xsi:type="dcterms:W3CDTF">2022-10-14T10:10:00Z</dcterms:modified>
</cp:coreProperties>
</file>