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lang w:val="sr-Latn-CS"/>
        </w:rPr>
      </w:pPr>
      <w:bookmarkStart w:id="0" w:name="_Toc288652014"/>
      <w:bookmarkStart w:id="1" w:name="_Toc383590207"/>
      <w:r w:rsidRPr="00FB3DF2">
        <w:rPr>
          <w:rFonts w:ascii="Cambria" w:eastAsia="Calibri" w:hAnsi="Cambria" w:cs="Times New Roman"/>
          <w:noProof/>
          <w:lang w:val="en-US"/>
        </w:rPr>
        <w:t xml:space="preserve">   </w:t>
      </w:r>
      <w:r w:rsidRPr="00FB3DF2">
        <w:rPr>
          <w:rFonts w:ascii="Cambria" w:eastAsia="Calibri" w:hAnsi="Cambria" w:cs="Times New Roman"/>
          <w:noProof/>
          <w:lang w:eastAsia="bs-Latn-BA"/>
        </w:rPr>
        <w:drawing>
          <wp:inline distT="0" distB="0" distL="0" distR="0">
            <wp:extent cx="3886200" cy="1143000"/>
            <wp:effectExtent l="0" t="0" r="0" b="0"/>
            <wp:docPr id="23" name="Picture 23" descr="LOGO_University_UIS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University_UIS_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/>
          <w:sz w:val="28"/>
          <w:lang w:val="sr-Latn-CS"/>
        </w:rPr>
      </w:pPr>
      <w:bookmarkStart w:id="2" w:name="_Toc288652013"/>
      <w:bookmarkStart w:id="3" w:name="_Toc383590206"/>
      <w:r w:rsidRPr="00FB3DF2">
        <w:rPr>
          <w:rFonts w:ascii="Cambria" w:eastAsia="Calibri" w:hAnsi="Cambria" w:cs="Times New Roman"/>
          <w:b/>
          <w:sz w:val="28"/>
          <w:lang w:val="sr-Latn-CS"/>
        </w:rPr>
        <w:t xml:space="preserve">Извјештај о спровођењу електронске студентске анкете у </w:t>
      </w: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/>
          <w:sz w:val="28"/>
          <w:lang w:val="sr-Cyrl-BA"/>
        </w:rPr>
      </w:pPr>
      <w:r>
        <w:rPr>
          <w:rFonts w:ascii="Cambria" w:eastAsia="Calibri" w:hAnsi="Cambria" w:cs="Times New Roman"/>
          <w:b/>
          <w:sz w:val="28"/>
          <w:lang w:val="sr-Cyrl-BA"/>
        </w:rPr>
        <w:t>љетном</w:t>
      </w:r>
      <w:r w:rsidRPr="00FB3DF2">
        <w:rPr>
          <w:rFonts w:ascii="Cambria" w:eastAsia="Calibri" w:hAnsi="Cambria" w:cs="Times New Roman"/>
          <w:b/>
          <w:sz w:val="28"/>
          <w:lang w:val="sr-Latn-BA"/>
        </w:rPr>
        <w:t xml:space="preserve"> семестру </w:t>
      </w:r>
      <w:r w:rsidRPr="00FB3DF2">
        <w:rPr>
          <w:rFonts w:ascii="Cambria" w:eastAsia="Calibri" w:hAnsi="Cambria" w:cs="Times New Roman"/>
          <w:b/>
          <w:sz w:val="28"/>
          <w:lang w:val="sr-Latn-CS"/>
        </w:rPr>
        <w:t>академске године 201</w:t>
      </w:r>
      <w:r w:rsidRPr="00FB3DF2">
        <w:rPr>
          <w:rFonts w:ascii="Cambria" w:eastAsia="Calibri" w:hAnsi="Cambria" w:cs="Times New Roman"/>
          <w:b/>
          <w:sz w:val="28"/>
          <w:lang w:val="sr-Cyrl-BA"/>
        </w:rPr>
        <w:t>6</w:t>
      </w:r>
      <w:r w:rsidRPr="00FB3DF2">
        <w:rPr>
          <w:rFonts w:ascii="Cambria" w:eastAsia="Calibri" w:hAnsi="Cambria" w:cs="Times New Roman"/>
          <w:b/>
          <w:sz w:val="28"/>
          <w:lang w:val="sr-Latn-CS"/>
        </w:rPr>
        <w:t>/1</w:t>
      </w:r>
      <w:bookmarkEnd w:id="2"/>
      <w:bookmarkEnd w:id="3"/>
      <w:r w:rsidRPr="00FB3DF2">
        <w:rPr>
          <w:rFonts w:ascii="Cambria" w:eastAsia="Calibri" w:hAnsi="Cambria" w:cs="Times New Roman"/>
          <w:b/>
          <w:sz w:val="28"/>
          <w:lang w:val="sr-Cyrl-BA"/>
        </w:rPr>
        <w:t>7</w:t>
      </w: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tabs>
          <w:tab w:val="left" w:pos="3075"/>
        </w:tabs>
        <w:spacing w:after="200" w:line="276" w:lineRule="auto"/>
        <w:rPr>
          <w:rFonts w:ascii="Cambria" w:eastAsia="Calibri" w:hAnsi="Cambria" w:cs="Times New Roman"/>
          <w:lang w:val="sr-Latn-BA"/>
        </w:rPr>
      </w:pPr>
    </w:p>
    <w:p w:rsidR="00FB3DF2" w:rsidRPr="00FB3DF2" w:rsidRDefault="00FB3DF2" w:rsidP="00FB3DF2">
      <w:pPr>
        <w:pBdr>
          <w:top w:val="single" w:sz="4" w:space="1" w:color="auto"/>
        </w:pBd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>КАНЦЕЛАРИЈА ЗА ОСИГУРАЊЕ КВАЛИТЕТА</w:t>
      </w:r>
    </w:p>
    <w:p w:rsidR="00FB3DF2" w:rsidRPr="00FB3DF2" w:rsidRDefault="00FB3DF2" w:rsidP="00FB3DF2">
      <w:pP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Latn-BA"/>
        </w:rPr>
      </w:pPr>
      <w:r w:rsidRPr="00FB3DF2">
        <w:rPr>
          <w:rFonts w:ascii="Cambria" w:eastAsia="Calibri" w:hAnsi="Cambria" w:cs="Times New Roman"/>
          <w:lang w:val="sr-Cyrl-BA"/>
        </w:rPr>
        <w:t>Координатор за осигурање квалитета - мр Ненад Марковић</w:t>
      </w:r>
    </w:p>
    <w:p w:rsidR="00FB3DF2" w:rsidRPr="00FB3DF2" w:rsidRDefault="00FB3DF2" w:rsidP="00FB3DF2">
      <w:pP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>Стручни сарадник за осигурање квалитета- Нина Личина, дипл. правник</w:t>
      </w:r>
    </w:p>
    <w:p w:rsidR="00FB3DF2" w:rsidRPr="00FB3DF2" w:rsidRDefault="00FB3DF2" w:rsidP="00FB3DF2">
      <w:pP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>ул. Вука Караџића 30, 71123 Источно Сарајево</w:t>
      </w:r>
    </w:p>
    <w:p w:rsidR="00FB3DF2" w:rsidRPr="00FB3DF2" w:rsidRDefault="00FB3DF2" w:rsidP="00FB3DF2">
      <w:pP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>тел/факс: 00387 57 320 330, локал 138</w:t>
      </w:r>
      <w:r>
        <w:rPr>
          <w:rFonts w:ascii="Cambria" w:eastAsia="Calibri" w:hAnsi="Cambria" w:cs="Times New Roman"/>
          <w:lang w:val="sr-Cyrl-BA"/>
        </w:rPr>
        <w:t xml:space="preserve"> и 133</w:t>
      </w:r>
    </w:p>
    <w:p w:rsidR="00FB3DF2" w:rsidRPr="00FB3DF2" w:rsidRDefault="00FB3DF2" w:rsidP="00FB3DF2">
      <w:pPr>
        <w:tabs>
          <w:tab w:val="left" w:pos="3075"/>
        </w:tabs>
        <w:spacing w:after="0" w:line="240" w:lineRule="auto"/>
        <w:jc w:val="center"/>
        <w:rPr>
          <w:rFonts w:ascii="Cambria" w:eastAsia="Calibri" w:hAnsi="Cambria" w:cs="Times New Roman"/>
          <w:lang w:val="sr-Latn-BA"/>
        </w:rPr>
      </w:pPr>
      <w:r w:rsidRPr="00FB3DF2">
        <w:rPr>
          <w:rFonts w:ascii="Cambria" w:eastAsia="Calibri" w:hAnsi="Cambria" w:cs="Times New Roman"/>
          <w:lang w:val="en-US"/>
        </w:rPr>
        <w:t>E-mail: qaofficeuis@gmail.com, nenad.markovic@ues.rs.ba</w:t>
      </w:r>
      <w:r w:rsidRPr="00FB3DF2">
        <w:rPr>
          <w:rFonts w:ascii="Cambria" w:eastAsia="Calibri" w:hAnsi="Cambria" w:cs="Times New Roman"/>
          <w:lang w:val="sr-Cyrl-BA"/>
        </w:rPr>
        <w:t xml:space="preserve">, </w:t>
      </w:r>
      <w:r w:rsidRPr="00FB3DF2">
        <w:rPr>
          <w:rFonts w:ascii="Cambria" w:eastAsia="Calibri" w:hAnsi="Cambria" w:cs="Times New Roman"/>
          <w:lang w:val="sr-Latn-BA"/>
        </w:rPr>
        <w:t>nina.licina</w:t>
      </w:r>
      <w:r w:rsidRPr="00FB3DF2">
        <w:rPr>
          <w:rFonts w:ascii="Cambria" w:eastAsia="Calibri" w:hAnsi="Cambria" w:cs="Times New Roman"/>
          <w:lang w:val="en-US"/>
        </w:rPr>
        <w:t>.ues@</w:t>
      </w:r>
      <w:r w:rsidRPr="00FB3DF2">
        <w:rPr>
          <w:rFonts w:ascii="Cambria" w:eastAsia="Calibri" w:hAnsi="Cambria" w:cs="Times New Roman"/>
          <w:lang w:val="sr-Latn-BA"/>
        </w:rPr>
        <w:t>gmail.com</w:t>
      </w: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i/>
          <w:sz w:val="24"/>
          <w:szCs w:val="24"/>
          <w:lang w:val="sr-Cyrl-BA"/>
        </w:rPr>
      </w:pPr>
      <w:r w:rsidRPr="00FB3DF2">
        <w:rPr>
          <w:rFonts w:ascii="Cambria" w:eastAsia="Calibri" w:hAnsi="Cambria" w:cs="Times New Roman"/>
          <w:i/>
          <w:sz w:val="24"/>
          <w:szCs w:val="24"/>
          <w:lang w:val="sr-Latn-CS"/>
        </w:rPr>
        <w:t>Источно Сарајево</w:t>
      </w:r>
      <w:r w:rsidRPr="00FB3DF2">
        <w:rPr>
          <w:rFonts w:ascii="Cambria" w:eastAsia="Calibri" w:hAnsi="Cambria" w:cs="Times New Roman"/>
          <w:i/>
          <w:color w:val="C00000"/>
          <w:sz w:val="24"/>
          <w:szCs w:val="24"/>
          <w:lang w:val="sr-Latn-CS"/>
        </w:rPr>
        <w:t xml:space="preserve">, </w:t>
      </w:r>
      <w:r>
        <w:rPr>
          <w:rFonts w:ascii="Cambria" w:eastAsia="Calibri" w:hAnsi="Cambria" w:cs="Times New Roman"/>
          <w:i/>
          <w:sz w:val="24"/>
          <w:szCs w:val="24"/>
          <w:lang w:val="sr-Cyrl-BA"/>
        </w:rPr>
        <w:t>јули</w:t>
      </w:r>
      <w:r w:rsidRPr="00FB3DF2">
        <w:rPr>
          <w:rFonts w:ascii="Cambria" w:eastAsia="Calibri" w:hAnsi="Cambria" w:cs="Times New Roman"/>
          <w:i/>
          <w:sz w:val="24"/>
          <w:szCs w:val="24"/>
          <w:lang w:val="sr-Cyrl-BA"/>
        </w:rPr>
        <w:t xml:space="preserve"> 2017</w:t>
      </w:r>
      <w:r w:rsidRPr="00FB3DF2">
        <w:rPr>
          <w:rFonts w:ascii="Cambria" w:eastAsia="Calibri" w:hAnsi="Cambria" w:cs="Times New Roman"/>
          <w:i/>
          <w:sz w:val="24"/>
          <w:szCs w:val="24"/>
          <w:lang w:val="sr-Latn-CS"/>
        </w:rPr>
        <w:t>.</w:t>
      </w:r>
      <w:r>
        <w:rPr>
          <w:rFonts w:ascii="Cambria" w:eastAsia="Calibri" w:hAnsi="Cambria" w:cs="Times New Roman"/>
          <w:i/>
          <w:sz w:val="24"/>
          <w:szCs w:val="24"/>
          <w:lang w:val="sr-Cyrl-BA"/>
        </w:rPr>
        <w:t xml:space="preserve"> године</w:t>
      </w: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color w:val="000000"/>
          <w:sz w:val="28"/>
          <w:lang w:val="sr-Latn-CS"/>
        </w:rPr>
      </w:pPr>
      <w:r w:rsidRPr="00FB3DF2">
        <w:rPr>
          <w:rFonts w:ascii="Cambria" w:eastAsia="Calibri" w:hAnsi="Cambria" w:cs="Times New Roman"/>
          <w:lang w:val="sr-Latn-CS"/>
        </w:rPr>
        <w:br w:type="page"/>
      </w:r>
      <w:r w:rsidRPr="00FB3DF2">
        <w:rPr>
          <w:rFonts w:ascii="Cambria" w:eastAsia="Calibri" w:hAnsi="Cambria" w:cs="Times New Roman"/>
          <w:color w:val="000000"/>
          <w:sz w:val="28"/>
          <w:lang w:val="sr-Latn-CS"/>
        </w:rPr>
        <w:lastRenderedPageBreak/>
        <w:t>Садржај</w:t>
      </w:r>
      <w:bookmarkEnd w:id="0"/>
      <w:bookmarkEnd w:id="1"/>
      <w:r w:rsidRPr="00FB3DF2">
        <w:rPr>
          <w:rFonts w:ascii="Cambria" w:eastAsia="Calibri" w:hAnsi="Cambria" w:cs="Times New Roman"/>
          <w:color w:val="000000"/>
          <w:sz w:val="28"/>
          <w:lang w:val="sr-Latn-CS"/>
        </w:rPr>
        <w:t xml:space="preserve"> </w:t>
      </w:r>
    </w:p>
    <w:p w:rsidR="00FB3DF2" w:rsidRPr="00FB3DF2" w:rsidRDefault="00FB3DF2" w:rsidP="00FB3DF2">
      <w:pPr>
        <w:tabs>
          <w:tab w:val="right" w:leader="dot" w:pos="9017"/>
        </w:tabs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tabs>
          <w:tab w:val="right" w:leader="dot" w:pos="9017"/>
        </w:tabs>
        <w:spacing w:after="200" w:line="276" w:lineRule="auto"/>
        <w:rPr>
          <w:rFonts w:ascii="Cambria" w:eastAsia="Times New Roman" w:hAnsi="Cambria" w:cs="Times New Roman"/>
          <w:noProof/>
          <w:lang w:eastAsia="bs-Latn-BA"/>
        </w:rPr>
      </w:pPr>
      <w:r w:rsidRPr="00FB3DF2">
        <w:rPr>
          <w:rFonts w:ascii="Cambria" w:eastAsia="Calibri" w:hAnsi="Cambria" w:cs="Times New Roman"/>
          <w:b/>
          <w:bCs/>
          <w:lang w:val="en-US"/>
        </w:rPr>
        <w:fldChar w:fldCharType="begin"/>
      </w:r>
      <w:r w:rsidRPr="00FB3DF2">
        <w:rPr>
          <w:rFonts w:ascii="Cambria" w:eastAsia="Calibri" w:hAnsi="Cambria" w:cs="Times New Roman"/>
          <w:b/>
          <w:bCs/>
          <w:lang w:val="en-US"/>
        </w:rPr>
        <w:instrText xml:space="preserve"> TOC \o "1-3" \h \z \u </w:instrText>
      </w:r>
      <w:r w:rsidRPr="00FB3DF2">
        <w:rPr>
          <w:rFonts w:ascii="Cambria" w:eastAsia="Calibri" w:hAnsi="Cambria" w:cs="Times New Roman"/>
          <w:b/>
          <w:bCs/>
          <w:lang w:val="en-US"/>
        </w:rPr>
        <w:fldChar w:fldCharType="separate"/>
      </w:r>
      <w:hyperlink w:anchor="_Toc416355280" w:history="1">
        <w:r w:rsidRPr="00FB3DF2">
          <w:rPr>
            <w:rFonts w:ascii="Cambria" w:eastAsia="Calibri" w:hAnsi="Cambria" w:cs="Times New Roman"/>
            <w:noProof/>
            <w:color w:val="0000FF"/>
            <w:u w:val="single"/>
            <w:lang w:val="sr-Latn-CS"/>
          </w:rPr>
          <w:t>Увод</w:t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_Toc416355280 \h </w:instrText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t>3</w:t>
        </w:r>
        <w:r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rPr>
          <w:rFonts w:ascii="Cambria" w:eastAsia="Times New Roman" w:hAnsi="Cambria" w:cs="Times New Roman"/>
          <w:noProof/>
          <w:lang w:eastAsia="bs-Latn-BA"/>
        </w:rPr>
      </w:pPr>
      <w:hyperlink w:anchor="_Toc416355281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Latn-CS"/>
          </w:rPr>
          <w:t>Опште информације о анкетирању и поступак анкетирања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_Toc416355281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4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rPr>
          <w:rFonts w:ascii="Cambria" w:eastAsia="Times New Roman" w:hAnsi="Cambria" w:cs="Times New Roman"/>
          <w:noProof/>
          <w:lang w:eastAsia="bs-Latn-BA"/>
        </w:rPr>
      </w:pPr>
      <w:hyperlink w:anchor="_Toc416355282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Latn-CS"/>
          </w:rPr>
          <w:t>Одзив студената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_Toc416355282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5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3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 xml:space="preserve">Тренд </w:t>
        </w:r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Latn-CS"/>
          </w:rPr>
          <w:t>укупног одзива студената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_Toc416355283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5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4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Latn-CS"/>
          </w:rPr>
          <w:t xml:space="preserve">Одзив студената по </w:t>
        </w:r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факултетима и академијама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_Toc416355284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7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rPr>
          <w:rFonts w:ascii="Cambria" w:eastAsia="Times New Roman" w:hAnsi="Cambria" w:cs="Times New Roman"/>
          <w:noProof/>
          <w:lang w:eastAsia="bs-Latn-BA"/>
        </w:rPr>
      </w:pPr>
      <w:hyperlink w:anchor="_Toc416355285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en-US"/>
          </w:rPr>
          <w:t>Резултати анкете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_Toc416355285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8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6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Студији и службе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_Toc416355286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8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7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Организација студија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_Toc416355287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10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8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Студентска служба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_Toc416355288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12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89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Библиотека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_Toc416355289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14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90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Остале административне службе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_Toc416355290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16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91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Наставни кадар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_Toc416355291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18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A0389B" w:rsidP="00FB3DF2">
      <w:pPr>
        <w:tabs>
          <w:tab w:val="right" w:leader="dot" w:pos="9017"/>
        </w:tabs>
        <w:spacing w:after="200" w:line="276" w:lineRule="auto"/>
        <w:ind w:left="220"/>
        <w:rPr>
          <w:rFonts w:ascii="Cambria" w:eastAsia="Times New Roman" w:hAnsi="Cambria" w:cs="Times New Roman"/>
          <w:noProof/>
          <w:lang w:eastAsia="bs-Latn-BA"/>
        </w:rPr>
      </w:pPr>
      <w:hyperlink w:anchor="_Toc416355292" w:history="1">
        <w:r w:rsidR="00FB3DF2" w:rsidRPr="00FB3DF2">
          <w:rPr>
            <w:rFonts w:ascii="Cambria" w:eastAsia="Calibri" w:hAnsi="Cambria" w:cs="Times New Roman"/>
            <w:noProof/>
            <w:color w:val="0000FF"/>
            <w:u w:val="single"/>
            <w:lang w:val="sr-Cyrl-BA"/>
          </w:rPr>
          <w:t>Активности по спроведеном анкетирању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ab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begin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instrText xml:space="preserve"> PAGEREF _Toc416355292 \h </w:instrTex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separate"/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t>20</w:t>
        </w:r>
        <w:r w:rsidR="00FB3DF2" w:rsidRPr="00FB3DF2">
          <w:rPr>
            <w:rFonts w:ascii="Cambria" w:eastAsia="Calibri" w:hAnsi="Cambria" w:cs="Times New Roman"/>
            <w:noProof/>
            <w:webHidden/>
            <w:lang w:val="en-US"/>
          </w:rPr>
          <w:fldChar w:fldCharType="end"/>
        </w:r>
      </w:hyperlink>
    </w:p>
    <w:p w:rsidR="00FB3DF2" w:rsidRPr="00FB3DF2" w:rsidRDefault="00FB3DF2" w:rsidP="00FB3DF2">
      <w:pPr>
        <w:keepNext/>
        <w:spacing w:before="240" w:after="60" w:line="276" w:lineRule="auto"/>
        <w:outlineLvl w:val="0"/>
        <w:rPr>
          <w:rFonts w:ascii="Cambria" w:eastAsia="Times New Roman" w:hAnsi="Cambria" w:cs="Times New Roman"/>
          <w:b/>
          <w:bCs/>
          <w:noProof/>
          <w:color w:val="0000FF"/>
          <w:kern w:val="32"/>
          <w:sz w:val="32"/>
          <w:szCs w:val="32"/>
          <w:u w:val="single"/>
          <w:lang w:val="en-US"/>
        </w:rPr>
      </w:pPr>
      <w:r w:rsidRPr="00FB3DF2">
        <w:rPr>
          <w:rFonts w:ascii="Cambria" w:eastAsia="Calibri" w:hAnsi="Cambria" w:cs="Times New Roman"/>
          <w:lang w:val="en-US"/>
        </w:rPr>
        <w:fldChar w:fldCharType="end"/>
      </w: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fldChar w:fldCharType="begin"/>
      </w: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instrText xml:space="preserve"> TOC \o "1-3" \h \z \u </w:instrText>
      </w: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fldChar w:fldCharType="separate"/>
      </w:r>
    </w:p>
    <w:p w:rsidR="00FB3DF2" w:rsidRPr="00FB3DF2" w:rsidRDefault="00FB3DF2" w:rsidP="00FB3DF2">
      <w:pPr>
        <w:keepNext/>
        <w:spacing w:before="240" w:after="60" w:line="276" w:lineRule="auto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</w:pPr>
    </w:p>
    <w:p w:rsidR="00FB3DF2" w:rsidRPr="00FB3DF2" w:rsidRDefault="00FB3DF2" w:rsidP="00FB3DF2">
      <w:pPr>
        <w:keepNext/>
        <w:spacing w:after="0" w:line="240" w:lineRule="auto"/>
        <w:outlineLvl w:val="0"/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</w:pP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fldChar w:fldCharType="end"/>
      </w: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sr-Latn-CS"/>
        </w:rPr>
        <w:br w:type="page"/>
      </w:r>
      <w:bookmarkStart w:id="4" w:name="_Toc272184997"/>
      <w:bookmarkStart w:id="5" w:name="_Toc383590208"/>
      <w:bookmarkStart w:id="6" w:name="_Toc416355280"/>
      <w:r w:rsidRPr="00FB3DF2"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  <w:lastRenderedPageBreak/>
        <w:t>Увод</w:t>
      </w:r>
      <w:bookmarkEnd w:id="4"/>
      <w:bookmarkEnd w:id="5"/>
      <w:bookmarkEnd w:id="6"/>
    </w:p>
    <w:p w:rsidR="00FB3DF2" w:rsidRPr="00FB3DF2" w:rsidRDefault="00FB3DF2" w:rsidP="00FB3DF2">
      <w:pPr>
        <w:spacing w:after="0" w:line="240" w:lineRule="auto"/>
        <w:jc w:val="both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both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en-US"/>
        </w:rPr>
      </w:pPr>
      <w:r w:rsidRPr="00FB3DF2">
        <w:rPr>
          <w:rFonts w:ascii="Cambria" w:eastAsia="Calibri" w:hAnsi="Cambria" w:cs="Times New Roman"/>
          <w:sz w:val="24"/>
          <w:szCs w:val="24"/>
          <w:lang w:val="en-US"/>
        </w:rPr>
        <w:t>Вредновање квалитета студија електронским анкетирањем студената представља дио система осигурања квалитета Универзитета у Источном Сарајеву, а његов циљ је праћење, обезбјеђење, контрола, унапређење квалитета студија, развијање културе квалитета, као и мотивисање свих запослених за веће лично залагање.</w:t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Arial" w:hAnsi="Cambria" w:cs="Times New Roman"/>
          <w:sz w:val="24"/>
          <w:lang w:val="sr-Cyrl-BA"/>
        </w:rPr>
      </w:pPr>
      <w:r w:rsidRPr="00FB3DF2">
        <w:rPr>
          <w:rFonts w:ascii="Cambria" w:eastAsia="Arial" w:hAnsi="Cambria" w:cs="Times New Roman"/>
          <w:sz w:val="24"/>
          <w:lang w:val="sr-Cyrl-BA"/>
        </w:rPr>
        <w:t>Основни циљ студентског вредновања јесте формирање мишљења студената о квалитету студијских програма, предмета који се на њима изводе, рада стручних служби и педагошког рада наставника и сарадника које се</w:t>
      </w:r>
      <w:r w:rsidRPr="00FB3DF2">
        <w:rPr>
          <w:rFonts w:ascii="Cambria" w:eastAsia="Arial" w:hAnsi="Cambria" w:cs="Times New Roman"/>
          <w:sz w:val="24"/>
          <w:lang w:val="sr-Latn-BA"/>
        </w:rPr>
        <w:t>, по Закону о високом образовању РС,</w:t>
      </w:r>
      <w:r w:rsidRPr="00FB3DF2">
        <w:rPr>
          <w:rFonts w:ascii="Cambria" w:eastAsia="Arial" w:hAnsi="Cambria" w:cs="Times New Roman"/>
          <w:sz w:val="24"/>
          <w:lang w:val="sr-Cyrl-BA"/>
        </w:rPr>
        <w:t xml:space="preserve"> узима у обзир приликом </w:t>
      </w:r>
      <w:r w:rsidRPr="00FB3DF2">
        <w:rPr>
          <w:rFonts w:ascii="Cambria" w:eastAsia="Arial" w:hAnsi="Cambria" w:cs="Times New Roman"/>
          <w:sz w:val="24"/>
          <w:lang w:val="en-US"/>
        </w:rPr>
        <w:t>избор</w:t>
      </w:r>
      <w:r w:rsidRPr="00FB3DF2">
        <w:rPr>
          <w:rFonts w:ascii="Cambria" w:eastAsia="Arial" w:hAnsi="Cambria" w:cs="Times New Roman"/>
          <w:sz w:val="24"/>
          <w:lang w:val="sr-Cyrl-BA"/>
        </w:rPr>
        <w:t>а</w:t>
      </w:r>
      <w:r w:rsidRPr="00FB3DF2">
        <w:rPr>
          <w:rFonts w:ascii="Cambria" w:eastAsia="Arial" w:hAnsi="Cambria" w:cs="Times New Roman"/>
          <w:sz w:val="24"/>
          <w:lang w:val="en-US"/>
        </w:rPr>
        <w:t xml:space="preserve"> у </w:t>
      </w:r>
      <w:r w:rsidRPr="00FB3DF2">
        <w:rPr>
          <w:rFonts w:ascii="Cambria" w:eastAsia="Arial" w:hAnsi="Cambria" w:cs="Times New Roman"/>
          <w:sz w:val="24"/>
          <w:lang w:val="sr-Cyrl-BA"/>
        </w:rPr>
        <w:t>научно-наставно, односно умјетничко-наставно</w:t>
      </w:r>
      <w:r w:rsidRPr="00FB3DF2">
        <w:rPr>
          <w:rFonts w:ascii="Cambria" w:eastAsia="Arial" w:hAnsi="Cambria" w:cs="Times New Roman"/>
          <w:sz w:val="24"/>
          <w:lang w:val="en-US"/>
        </w:rPr>
        <w:t xml:space="preserve"> звање</w:t>
      </w:r>
      <w:r w:rsidRPr="00FB3DF2">
        <w:rPr>
          <w:rFonts w:ascii="Cambria" w:eastAsia="Arial" w:hAnsi="Cambria" w:cs="Times New Roman"/>
          <w:sz w:val="24"/>
          <w:lang w:val="sr-Cyrl-BA"/>
        </w:rPr>
        <w:t xml:space="preserve"> наставника/ сарадника.</w:t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Arial" w:hAnsi="Cambria" w:cs="Times New Roman"/>
          <w:i/>
          <w:sz w:val="24"/>
          <w:lang w:val="sr-Cyrl-BA"/>
        </w:rPr>
      </w:pPr>
      <w:r w:rsidRPr="00FB3DF2">
        <w:rPr>
          <w:rFonts w:ascii="Cambria" w:eastAsia="Arial" w:hAnsi="Cambria" w:cs="Times New Roman"/>
          <w:i/>
          <w:sz w:val="24"/>
          <w:lang w:val="sr-Cyrl-BA"/>
        </w:rPr>
        <w:t>Приликом избора у научно-наставна звања узима се у обзир и вредновање наставничких способности у оквиру система квалитета универзитета.</w:t>
      </w:r>
      <w:r w:rsidRPr="00FB3DF2">
        <w:rPr>
          <w:rFonts w:ascii="Cambria" w:eastAsia="Arial" w:hAnsi="Cambria" w:cs="Times New Roman"/>
          <w:i/>
          <w:sz w:val="24"/>
          <w:vertAlign w:val="superscript"/>
          <w:lang w:val="sr-Cyrl-BA"/>
        </w:rPr>
        <w:footnoteReference w:id="1"/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Arial" w:hAnsi="Cambria" w:cs="Times New Roman"/>
          <w:i/>
          <w:sz w:val="24"/>
          <w:lang w:val="sr-Cyrl-BA"/>
        </w:rPr>
      </w:pPr>
      <w:r w:rsidRPr="00FB3DF2">
        <w:rPr>
          <w:rFonts w:ascii="Cambria" w:eastAsia="Arial" w:hAnsi="Cambria" w:cs="Times New Roman"/>
          <w:i/>
          <w:sz w:val="24"/>
          <w:lang w:val="sr-Cyrl-BA"/>
        </w:rPr>
        <w:t>Приликом избора у умјетничко-наставна звања узима се у обзир и вредновање наставничких способности у оквиру система квалитета универзитета.</w:t>
      </w:r>
      <w:r w:rsidRPr="00FB3DF2">
        <w:rPr>
          <w:rFonts w:ascii="Cambria" w:eastAsia="Arial" w:hAnsi="Cambria" w:cs="Times New Roman"/>
          <w:i/>
          <w:sz w:val="24"/>
          <w:vertAlign w:val="superscript"/>
          <w:lang w:val="sr-Cyrl-BA"/>
        </w:rPr>
        <w:footnoteReference w:id="2"/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  <w:r w:rsidRPr="00FB3DF2">
        <w:rPr>
          <w:rFonts w:ascii="Cambria" w:eastAsia="Calibri" w:hAnsi="Cambria" w:cs="Times New Roman"/>
          <w:sz w:val="24"/>
          <w:szCs w:val="24"/>
          <w:lang w:val="en-US"/>
        </w:rPr>
        <w:t>Резултати студентског вредновања се користе за редовно праћење и контролу квалитета наставног процеса, као д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и</w:t>
      </w:r>
      <w:r w:rsidRPr="00FB3DF2">
        <w:rPr>
          <w:rFonts w:ascii="Cambria" w:eastAsia="Calibri" w:hAnsi="Cambria" w:cs="Times New Roman"/>
          <w:sz w:val="24"/>
          <w:szCs w:val="24"/>
          <w:lang w:val="en-US"/>
        </w:rPr>
        <w:t xml:space="preserve">о опште политике у области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осигурања</w:t>
      </w:r>
      <w:r w:rsidRPr="00FB3DF2">
        <w:rPr>
          <w:rFonts w:ascii="Cambria" w:eastAsia="Calibri" w:hAnsi="Cambria" w:cs="Times New Roman"/>
          <w:sz w:val="24"/>
          <w:szCs w:val="24"/>
          <w:lang w:val="en-US"/>
        </w:rPr>
        <w:t xml:space="preserve"> квалитета високог образовања на Универзитету.</w:t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</w:pP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>Анкетирање студената у свим организационим јединицама Универзитета у Источном Сарајеву у љетном семестру академске 20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BA" w:eastAsia="hr-HR"/>
        </w:rPr>
        <w:t>1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>6/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  <w:t>1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 xml:space="preserve">7 године, имало је за циљ испитивање задовољства корисника у високом образовању – студената, 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  <w:t xml:space="preserve">организацијом студијског програма који похађају, радом служби факултета и академија, извођењем свих појединачних предмета које су студенти слушали у 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>љетном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  <w:t xml:space="preserve"> семестру академске 20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>16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  <w:t>/1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Cyrl-BA" w:eastAsia="hr-HR"/>
        </w:rPr>
        <w:t>7</w:t>
      </w:r>
      <w:r w:rsidRPr="00FB3DF2">
        <w:rPr>
          <w:rFonts w:ascii="Cambria" w:eastAsia="Times New Roman" w:hAnsi="Cambria" w:cs="Times New Roman"/>
          <w:color w:val="000000"/>
          <w:sz w:val="24"/>
          <w:szCs w:val="24"/>
          <w:lang w:val="sr-Latn-CS" w:eastAsia="hr-HR"/>
        </w:rPr>
        <w:t xml:space="preserve"> године, као и педагошким радом свих наставника и сарадника ангажованих на предметима које су оцјењивали.</w:t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Спроведено електронско анкетирање студената представља свеобухватно вредновање квалитета студијског програма, наставног процеса у цјелини, педагошког рада наставника и сарадника Универзитета у Источном Сарајеву од стране студената, које је јединствено организовано и засновано на истој методологији.</w:t>
      </w: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Arial" w:hAnsi="Cambria" w:cs="Times New Roman"/>
          <w:sz w:val="24"/>
          <w:lang w:val="en-US"/>
        </w:rPr>
      </w:pPr>
    </w:p>
    <w:p w:rsidR="00FB3DF2" w:rsidRPr="00FB3DF2" w:rsidRDefault="00FB3DF2" w:rsidP="00FB3DF2">
      <w:pPr>
        <w:spacing w:after="0" w:line="240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</w:p>
    <w:p w:rsidR="00FB3DF2" w:rsidRPr="00FB3DF2" w:rsidRDefault="00FB3DF2" w:rsidP="00FB3DF2">
      <w:pPr>
        <w:keepNext/>
        <w:spacing w:after="0" w:line="240" w:lineRule="auto"/>
        <w:outlineLvl w:val="0"/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</w:pP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sr-Latn-CS"/>
        </w:rPr>
        <w:br w:type="page"/>
      </w:r>
      <w:bookmarkStart w:id="7" w:name="_Toc272184998"/>
      <w:bookmarkStart w:id="8" w:name="_Toc383590209"/>
      <w:bookmarkStart w:id="9" w:name="_Toc416355281"/>
      <w:r w:rsidRPr="00FB3DF2"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  <w:lastRenderedPageBreak/>
        <w:t>Опште информације о анкетирању и поступак анкетирања</w:t>
      </w:r>
      <w:bookmarkEnd w:id="7"/>
      <w:bookmarkEnd w:id="8"/>
      <w:bookmarkEnd w:id="9"/>
    </w:p>
    <w:p w:rsidR="00FB3DF2" w:rsidRPr="00FB3DF2" w:rsidRDefault="00FB3DF2" w:rsidP="00FB3DF2">
      <w:pPr>
        <w:spacing w:after="200" w:line="276" w:lineRule="auto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</w:p>
    <w:p w:rsidR="00FB3DF2" w:rsidRPr="00FB3DF2" w:rsidRDefault="00FB3DF2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Анкетирање је спроведено у складу са универзитетским Правилником о студентском вредновању квалитета студија на свим организационим јединицама.</w:t>
      </w:r>
    </w:p>
    <w:p w:rsidR="00FB3DF2" w:rsidRDefault="00FB3DF2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Анкетом су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били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обухваћени редовни студенти основних студија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првог и другог циклуса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који по први пут уписују одређену годину студија, односно право на анкетирање имали су сви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првоуписани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студенти који су били унешени у студентску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информациону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базу података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Универзитета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. </w:t>
      </w:r>
    </w:p>
    <w:p w:rsidR="0006712D" w:rsidRPr="00C00232" w:rsidRDefault="0006712D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r w:rsidRPr="00C00232">
        <w:rPr>
          <w:rFonts w:ascii="Cambria" w:eastAsia="Calibri" w:hAnsi="Cambria" w:cs="Times New Roman"/>
          <w:sz w:val="24"/>
          <w:szCs w:val="24"/>
          <w:lang w:val="sr-Cyrl-BA"/>
        </w:rPr>
        <w:t>Постојало је искључиво право да се студентима који нису похађали наставу на појединим предметима не дозволи анкетирање или исто забрани за одређене предмете уз надзор</w:t>
      </w:r>
      <w:r w:rsidR="0095774D"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(члан 14. став (9) и (10)).</w:t>
      </w:r>
    </w:p>
    <w:p w:rsidR="00FB3DF2" w:rsidRPr="00FB3DF2" w:rsidRDefault="00FB3DF2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Студенти су у анкети оцјењивали организацију студија, рад појединих служби факултета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и академија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, све појединачне предмете које су слушали у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љетном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семестру школске 201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6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/1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7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 године, као и све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наставнике и сараднике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 ангажоване у настави на наведеним предметима. Коришћена је </w:t>
      </w:r>
      <w:r w:rsidR="00643B77">
        <w:rPr>
          <w:rFonts w:ascii="Cambria" w:eastAsia="Calibri" w:hAnsi="Cambria" w:cs="Times New Roman"/>
          <w:sz w:val="24"/>
          <w:szCs w:val="24"/>
          <w:lang w:val="sr-Cyrl-BA"/>
        </w:rPr>
        <w:t xml:space="preserve">Ликертова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скала са оцјенама од 1 до 5 за оцјењивање рада наставника, служби и организацију студија (1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-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најлошија оцјена, 5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-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најбоља оцјена), као и понуђене тврдње.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</w:t>
      </w:r>
    </w:p>
    <w:p w:rsidR="00FB3DF2" w:rsidRPr="00FB3DF2" w:rsidRDefault="00FB3DF2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Чланови Комисије за спровођење поступка анкетирања факултета и академија су обавезни у складу са Правилником о студентском вредновању квалитета студија презентовати извјештај свог факултета или академије, односно студијског програма на сједници Вијећа, након обављеног поступка анкетирања у циљу добијања повратних инфомација о квалитету обављеног поступка, и исти доставити канцеларији за осигурање квалитета.</w:t>
      </w:r>
    </w:p>
    <w:p w:rsidR="00FB3DF2" w:rsidRPr="00C00232" w:rsidRDefault="00FB3DF2" w:rsidP="00FB3DF2">
      <w:pPr>
        <w:spacing w:after="200" w:line="276" w:lineRule="auto"/>
        <w:ind w:firstLine="720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r w:rsidRPr="00C00232">
        <w:rPr>
          <w:rFonts w:ascii="Cambria" w:eastAsia="Calibri" w:hAnsi="Cambria" w:cs="Times New Roman"/>
          <w:sz w:val="24"/>
          <w:szCs w:val="24"/>
          <w:lang w:val="sr-Cyrl-BA"/>
        </w:rPr>
        <w:t>Искључива надлежност за унапређење квалитета наставног процеса</w:t>
      </w:r>
      <w:r w:rsidR="00643B77"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и стања на факултету/ академији</w:t>
      </w:r>
      <w:r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у складу са обављеном анкетом јесте на руководству факултета и академија, који у складу са резултатима</w:t>
      </w:r>
      <w:r w:rsidR="00643B77"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(оцјенама и коментарима)</w:t>
      </w:r>
      <w:r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требају предузети одговарајуће активности</w:t>
      </w:r>
      <w:r w:rsidR="00643B77" w:rsidRPr="00C00232">
        <w:rPr>
          <w:rFonts w:ascii="Cambria" w:eastAsia="Calibri" w:hAnsi="Cambria" w:cs="Times New Roman"/>
          <w:sz w:val="24"/>
          <w:szCs w:val="24"/>
          <w:lang w:val="sr-Cyrl-BA"/>
        </w:rPr>
        <w:t xml:space="preserve"> унапређења</w:t>
      </w:r>
      <w:r w:rsidRPr="00C00232">
        <w:rPr>
          <w:rFonts w:ascii="Cambria" w:eastAsia="Calibri" w:hAnsi="Cambria" w:cs="Times New Roman"/>
          <w:sz w:val="24"/>
          <w:szCs w:val="24"/>
          <w:lang w:val="sr-Cyrl-BA"/>
        </w:rPr>
        <w:t>.</w:t>
      </w:r>
    </w:p>
    <w:p w:rsidR="00FB3DF2" w:rsidRPr="00FB3DF2" w:rsidRDefault="00FB3DF2" w:rsidP="00FB3DF2">
      <w:pPr>
        <w:keepNext/>
        <w:spacing w:after="0" w:line="276" w:lineRule="auto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sr-Cyrl-BA"/>
        </w:rPr>
      </w:pPr>
      <w:bookmarkStart w:id="10" w:name="_Toc272185001"/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76" w:lineRule="auto"/>
        <w:outlineLvl w:val="0"/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</w:pPr>
      <w:bookmarkStart w:id="11" w:name="_Toc383590210"/>
      <w:bookmarkStart w:id="12" w:name="_Toc416355282"/>
      <w:r w:rsidRPr="00FB3DF2">
        <w:rPr>
          <w:rFonts w:ascii="Cambria" w:eastAsia="Times New Roman" w:hAnsi="Cambria" w:cs="Times New Roman"/>
          <w:bCs/>
          <w:kern w:val="32"/>
          <w:sz w:val="32"/>
          <w:szCs w:val="32"/>
          <w:lang w:val="sr-Latn-CS"/>
        </w:rPr>
        <w:lastRenderedPageBreak/>
        <w:t>Одзив студената</w:t>
      </w:r>
      <w:bookmarkEnd w:id="10"/>
      <w:bookmarkEnd w:id="11"/>
      <w:bookmarkEnd w:id="12"/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sr-Latn-CS"/>
        </w:rPr>
      </w:pPr>
      <w:bookmarkStart w:id="13" w:name="_Toc272185002"/>
    </w:p>
    <w:p w:rsidR="00FB3DF2" w:rsidRPr="00FB3DF2" w:rsidRDefault="00FB3DF2" w:rsidP="00FB3DF2">
      <w:pPr>
        <w:spacing w:after="0" w:line="276" w:lineRule="auto"/>
        <w:jc w:val="both"/>
        <w:rPr>
          <w:rFonts w:ascii="Cambria" w:eastAsia="Calibri" w:hAnsi="Cambria" w:cs="Times New Roman"/>
          <w:lang w:val="sr-Latn-CS"/>
        </w:rPr>
      </w:pPr>
    </w:p>
    <w:p w:rsidR="00FB3DF2" w:rsidRPr="00FB3DF2" w:rsidRDefault="00FB3DF2" w:rsidP="00FB3DF2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  <w:lang w:val="sr-Latn-CS"/>
        </w:rPr>
      </w:pPr>
      <w:bookmarkStart w:id="14" w:name="_Toc288652018"/>
      <w:bookmarkStart w:id="15" w:name="_Toc383590211"/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Максималан број учесника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анкете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>, тј. студената унешених у базу података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свих факултета и академија</w:t>
      </w:r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 за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 љетни семестар 2016/17 био је 5.520, што је за 120 студента мање у односу на зимски семестар 2016/17 – </w:t>
      </w:r>
      <w:bookmarkEnd w:id="14"/>
      <w:bookmarkEnd w:id="15"/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 xml:space="preserve">5.640. Тачно прије 4 године, у љетном семестру 2012/13 максималан број учесника анкете је био </w:t>
      </w:r>
      <w:r w:rsidRPr="00FB3DF2">
        <w:rPr>
          <w:rFonts w:ascii="Cambria" w:eastAsia="Times New Roman" w:hAnsi="Cambria" w:cs="Calibri"/>
          <w:color w:val="000000"/>
          <w:sz w:val="24"/>
          <w:szCs w:val="24"/>
          <w:lang w:eastAsia="bs-Latn-BA"/>
        </w:rPr>
        <w:t>7</w:t>
      </w:r>
      <w:r w:rsidRPr="00FB3DF2">
        <w:rPr>
          <w:rFonts w:ascii="Cambria" w:eastAsia="Times New Roman" w:hAnsi="Cambria" w:cs="Calibri"/>
          <w:color w:val="000000"/>
          <w:sz w:val="24"/>
          <w:szCs w:val="24"/>
          <w:lang w:val="sr-Cyrl-BA" w:eastAsia="bs-Latn-BA"/>
        </w:rPr>
        <w:t>.</w:t>
      </w:r>
      <w:r w:rsidRPr="00FB3DF2">
        <w:rPr>
          <w:rFonts w:ascii="Cambria" w:eastAsia="Times New Roman" w:hAnsi="Cambria" w:cs="Calibri"/>
          <w:color w:val="000000"/>
          <w:sz w:val="24"/>
          <w:szCs w:val="24"/>
          <w:lang w:eastAsia="bs-Latn-BA"/>
        </w:rPr>
        <w:t>732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, што је за 2.212 мање студената него данас, што је озбиљан показатељ смањења броја студената на Универзитету.</w:t>
      </w:r>
    </w:p>
    <w:p w:rsidR="00FB3DF2" w:rsidRPr="00FB3DF2" w:rsidRDefault="00FB3DF2" w:rsidP="00FB3DF2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  <w:lang w:val="sr-Cyrl-BA"/>
        </w:rPr>
      </w:pPr>
      <w:bookmarkStart w:id="16" w:name="_Toc288652019"/>
      <w:bookmarkStart w:id="17" w:name="_Toc383590212"/>
      <w:r w:rsidRPr="00FB3DF2">
        <w:rPr>
          <w:rFonts w:ascii="Cambria" w:eastAsia="Calibri" w:hAnsi="Cambria" w:cs="Times New Roman"/>
          <w:sz w:val="24"/>
          <w:szCs w:val="24"/>
          <w:lang w:val="sr-Latn-CS"/>
        </w:rPr>
        <w:t xml:space="preserve">Одзив студената за анкету спроведену </w:t>
      </w:r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у љетном семестру 2016/17 био је 45,78 % или 2.527  студената испитаника</w:t>
      </w:r>
      <w:bookmarkEnd w:id="16"/>
      <w:r w:rsidRPr="00FB3DF2">
        <w:rPr>
          <w:rFonts w:ascii="Cambria" w:eastAsia="Calibri" w:hAnsi="Cambria" w:cs="Times New Roman"/>
          <w:sz w:val="24"/>
          <w:szCs w:val="24"/>
          <w:lang w:val="sr-Cyrl-BA"/>
        </w:rPr>
        <w:t>.</w:t>
      </w:r>
      <w:bookmarkEnd w:id="17"/>
    </w:p>
    <w:p w:rsidR="00FB3DF2" w:rsidRPr="00FB3DF2" w:rsidRDefault="00FB3DF2" w:rsidP="00FB3DF2">
      <w:pPr>
        <w:tabs>
          <w:tab w:val="left" w:pos="1256"/>
        </w:tabs>
        <w:spacing w:after="0" w:line="240" w:lineRule="auto"/>
        <w:rPr>
          <w:rFonts w:ascii="Cambria" w:eastAsia="Calibri" w:hAnsi="Cambria" w:cs="Times New Roman"/>
          <w:lang w:val="sr-Latn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</w:pPr>
      <w:bookmarkStart w:id="18" w:name="_Toc383590213"/>
      <w:bookmarkStart w:id="19" w:name="_Toc416355283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  <w:t xml:space="preserve">Тренд </w:t>
      </w:r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Latn-CS"/>
        </w:rPr>
        <w:t>укупног одзива студената</w:t>
      </w:r>
      <w:bookmarkEnd w:id="18"/>
      <w:bookmarkEnd w:id="19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Latn-CS"/>
        </w:rPr>
        <w:t xml:space="preserve"> </w:t>
      </w:r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i/>
          <w:sz w:val="20"/>
          <w:lang w:val="sr-Cyrl-BA"/>
        </w:rPr>
      </w:pPr>
      <w:r w:rsidRPr="00FB3DF2">
        <w:rPr>
          <w:rFonts w:ascii="Cambria" w:eastAsia="Calibri" w:hAnsi="Cambria" w:cs="Times New Roman"/>
          <w:sz w:val="20"/>
          <w:lang w:val="sr-Cyrl-BA"/>
        </w:rPr>
        <w:t xml:space="preserve">Табела 1. </w:t>
      </w:r>
      <w:r w:rsidRPr="00FB3DF2">
        <w:rPr>
          <w:rFonts w:ascii="Cambria" w:eastAsia="Calibri" w:hAnsi="Cambria" w:cs="Times New Roman"/>
          <w:i/>
          <w:sz w:val="20"/>
          <w:lang w:val="sr-Cyrl-BA"/>
        </w:rPr>
        <w:t>Укупни приказ одзива студената на анкету с универзитетског нивоа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i/>
          <w:lang w:val="sr-Cyrl-BA"/>
        </w:rPr>
      </w:pPr>
    </w:p>
    <w:tbl>
      <w:tblPr>
        <w:tblW w:w="6810" w:type="dxa"/>
        <w:tblInd w:w="1108" w:type="dxa"/>
        <w:tblLook w:val="04A0" w:firstRow="1" w:lastRow="0" w:firstColumn="1" w:lastColumn="0" w:noHBand="0" w:noVBand="1"/>
      </w:tblPr>
      <w:tblGrid>
        <w:gridCol w:w="1397"/>
        <w:gridCol w:w="1220"/>
        <w:gridCol w:w="1058"/>
        <w:gridCol w:w="1124"/>
        <w:gridCol w:w="1051"/>
        <w:gridCol w:w="960"/>
      </w:tblGrid>
      <w:tr w:rsidR="00FB3DF2" w:rsidRPr="00FB3DF2" w:rsidTr="004835E4">
        <w:trPr>
          <w:trHeight w:val="630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  <w:t>Универзитет у Источном Сарајеву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Академска година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  <w:t>Семестар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6"/>
                <w:szCs w:val="16"/>
                <w:lang w:eastAsia="bs-Latn-BA"/>
              </w:rPr>
              <w:t>Максималан број учесника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  <w:t>Број учесника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  <w:t>Одзив [%]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2009/10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7133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32,12%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2010/11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8262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25,26%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2010/11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8811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25,39%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2011/12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8424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33,65%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2011/12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7760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36,08%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2012/13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7687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46,64%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2012/13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7732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40,42%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2013/14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7484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45,66%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2013/14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6417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2590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40,36%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2014/15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6415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48,57%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2014/15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6266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40,55%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2015/16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6371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3090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48,50%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 xml:space="preserve">2015/16 љ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6326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2922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46,19%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</w:pPr>
            <w:r w:rsidRPr="00FB3DF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bs-Latn-BA"/>
              </w:rPr>
              <w:t>2016/17 з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bs-Latn-BA"/>
              </w:rPr>
              <w:t>зимски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5640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2830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DF2" w:rsidRPr="00FB3DF2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FB3DF2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50,18%</w:t>
            </w:r>
          </w:p>
        </w:tc>
      </w:tr>
      <w:tr w:rsidR="00FB3DF2" w:rsidRPr="00FB3DF2" w:rsidTr="004835E4">
        <w:trPr>
          <w:trHeight w:val="300"/>
        </w:trPr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3DF2" w:rsidRPr="00FB3DF2" w:rsidRDefault="00FB3DF2" w:rsidP="00FB3DF2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bs-Latn-BA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6569AD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6569A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2016/17 љ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6569AD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6569A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љетни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6569AD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6569A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5520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6569AD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6569A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2527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DF2" w:rsidRPr="006569AD" w:rsidRDefault="00FB3DF2" w:rsidP="00FB3DF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</w:pPr>
            <w:r w:rsidRPr="006569AD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bs-Latn-BA"/>
              </w:rPr>
              <w:t>45,78%</w:t>
            </w:r>
          </w:p>
        </w:tc>
      </w:tr>
    </w:tbl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734050" cy="2590800"/>
            <wp:effectExtent l="0" t="0" r="0" b="0"/>
            <wp:docPr id="22" name="Chart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tabs>
          <w:tab w:val="left" w:pos="5265"/>
        </w:tabs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tabs>
          <w:tab w:val="left" w:pos="1256"/>
        </w:tabs>
        <w:spacing w:after="200" w:line="276" w:lineRule="auto"/>
        <w:jc w:val="center"/>
        <w:rPr>
          <w:rFonts w:ascii="Cambria" w:eastAsia="Calibri" w:hAnsi="Cambria" w:cs="Times New Roman"/>
          <w:sz w:val="20"/>
          <w:lang w:val="sr-Cyrl-BA"/>
        </w:rPr>
      </w:pPr>
      <w:r w:rsidRPr="00FB3DF2">
        <w:rPr>
          <w:rFonts w:ascii="Cambria" w:eastAsia="Calibri" w:hAnsi="Cambria" w:cs="Times New Roman"/>
          <w:sz w:val="20"/>
          <w:lang w:val="sr-Cyrl-BA"/>
        </w:rPr>
        <w:t xml:space="preserve">Слика 1. </w:t>
      </w:r>
      <w:r w:rsidRPr="00FB3DF2">
        <w:rPr>
          <w:rFonts w:ascii="Cambria" w:eastAsia="Calibri" w:hAnsi="Cambria" w:cs="Times New Roman"/>
          <w:i/>
          <w:sz w:val="20"/>
          <w:lang w:val="sr-Cyrl-BA"/>
        </w:rPr>
        <w:t>Графички приказ односа могућег максималног броја учесника и броја анкетираних студената</w:t>
      </w:r>
    </w:p>
    <w:bookmarkEnd w:id="13"/>
    <w:p w:rsidR="00FB3DF2" w:rsidRPr="00FB3DF2" w:rsidRDefault="00FB3DF2" w:rsidP="00FB3DF2">
      <w:pPr>
        <w:tabs>
          <w:tab w:val="left" w:pos="1256"/>
        </w:tabs>
        <w:spacing w:after="200" w:line="276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4914900" cy="2724150"/>
            <wp:effectExtent l="0" t="0" r="0" b="0"/>
            <wp:docPr id="21" name="Chart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i/>
          <w:sz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lang w:val="sr-Cyrl-BA" w:eastAsia="bs-Latn-BA"/>
        </w:rPr>
        <w:t xml:space="preserve">Слика 2. </w:t>
      </w:r>
      <w:r w:rsidRPr="00FB3DF2">
        <w:rPr>
          <w:rFonts w:ascii="Cambria" w:eastAsia="Calibri" w:hAnsi="Cambria" w:cs="Times New Roman"/>
          <w:i/>
          <w:noProof/>
          <w:sz w:val="20"/>
          <w:lang w:val="sr-Cyrl-BA" w:eastAsia="bs-Latn-BA"/>
        </w:rPr>
        <w:t>Процентуални одзив студената у односу на могући максимални број учесника</w:t>
      </w:r>
      <w:r w:rsidR="006A135D">
        <w:rPr>
          <w:rFonts w:ascii="Cambria" w:eastAsia="Calibri" w:hAnsi="Cambria" w:cs="Times New Roman"/>
          <w:i/>
          <w:noProof/>
          <w:sz w:val="20"/>
          <w:lang w:val="sr-Cyrl-BA" w:eastAsia="bs-Latn-BA"/>
        </w:rPr>
        <w:t xml:space="preserve"> </w:t>
      </w:r>
      <w:r w:rsidR="006A135D" w:rsidRPr="006A135D">
        <w:rPr>
          <w:rFonts w:ascii="Cambria" w:eastAsia="Calibri" w:hAnsi="Cambria" w:cs="Times New Roman"/>
          <w:i/>
          <w:noProof/>
          <w:sz w:val="20"/>
          <w:lang w:val="sr-Cyrl-BA" w:eastAsia="bs-Latn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  <w:bookmarkStart w:id="20" w:name="_Toc272185003"/>
      <w:bookmarkStart w:id="21" w:name="_Toc383590214"/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Latn-BA"/>
        </w:rPr>
      </w:pPr>
      <w:bookmarkStart w:id="22" w:name="_Toc416355284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Latn-CS"/>
        </w:rPr>
        <w:lastRenderedPageBreak/>
        <w:t xml:space="preserve">Одзив студената по </w:t>
      </w:r>
      <w:bookmarkEnd w:id="20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  <w:t>факултетима и академијама</w:t>
      </w:r>
      <w:bookmarkEnd w:id="21"/>
      <w:bookmarkEnd w:id="22"/>
    </w:p>
    <w:p w:rsidR="00FB3DF2" w:rsidRPr="00FB3DF2" w:rsidRDefault="00FB3DF2" w:rsidP="00FB3DF2">
      <w:pPr>
        <w:spacing w:after="200" w:line="276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i/>
          <w:noProof/>
          <w:sz w:val="20"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sz w:val="20"/>
          <w:lang w:val="sr-Cyrl-BA" w:eastAsia="bs-Latn-BA"/>
        </w:rPr>
        <w:t xml:space="preserve">Слика 3. </w:t>
      </w:r>
      <w:r w:rsidRPr="00FB3DF2">
        <w:rPr>
          <w:rFonts w:ascii="Calibri" w:eastAsia="Calibri" w:hAnsi="Calibri" w:cs="Times New Roman"/>
          <w:i/>
          <w:noProof/>
          <w:sz w:val="20"/>
          <w:lang w:val="sr-Cyrl-BA" w:eastAsia="bs-Latn-BA"/>
        </w:rPr>
        <w:t>Приказ укупног броја учесника у анкети за љетни семестар 2016/17 по факултетима и академијама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i/>
          <w:noProof/>
          <w:sz w:val="20"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i/>
          <w:noProof/>
          <w:sz w:val="20"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743575" cy="3467100"/>
            <wp:effectExtent l="0" t="0" r="0" b="0"/>
            <wp:docPr id="20" name="Char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3DF2" w:rsidRPr="00FB3DF2" w:rsidRDefault="00FB3DF2" w:rsidP="00FB3DF2">
      <w:pPr>
        <w:spacing w:after="200" w:line="276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743575" cy="3362325"/>
            <wp:effectExtent l="0" t="0" r="0" b="0"/>
            <wp:docPr id="19" name="Char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i/>
          <w:noProof/>
          <w:sz w:val="20"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sz w:val="20"/>
          <w:lang w:val="sr-Cyrl-BA" w:eastAsia="bs-Latn-BA"/>
        </w:rPr>
        <w:t xml:space="preserve">Слика 4. </w:t>
      </w:r>
      <w:r w:rsidRPr="00FB3DF2">
        <w:rPr>
          <w:rFonts w:ascii="Calibri" w:eastAsia="Calibri" w:hAnsi="Calibri" w:cs="Times New Roman"/>
          <w:i/>
          <w:noProof/>
          <w:sz w:val="20"/>
          <w:lang w:val="sr-Cyrl-BA" w:eastAsia="bs-Latn-BA"/>
        </w:rPr>
        <w:t>Процентуални приказ одзива студената у анкети за љетни семестар 2016/17 у односу на могући максимални број учесника по факултетима и академијама</w:t>
      </w:r>
    </w:p>
    <w:p w:rsidR="00FB3DF2" w:rsidRPr="00FB3DF2" w:rsidRDefault="00FB3DF2" w:rsidP="00FB3DF2">
      <w:pPr>
        <w:keepNext/>
        <w:spacing w:after="0" w:line="240" w:lineRule="auto"/>
        <w:outlineLvl w:val="0"/>
        <w:rPr>
          <w:rFonts w:ascii="Cambria" w:eastAsia="Times New Roman" w:hAnsi="Cambria" w:cs="Times New Roman"/>
          <w:bCs/>
          <w:kern w:val="32"/>
          <w:sz w:val="32"/>
          <w:szCs w:val="32"/>
          <w:lang w:val="en-US"/>
        </w:rPr>
      </w:pPr>
      <w:r w:rsidRPr="00FB3DF2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br w:type="page"/>
      </w:r>
      <w:bookmarkStart w:id="23" w:name="_Toc383590215"/>
      <w:bookmarkStart w:id="24" w:name="_Toc416355285"/>
      <w:bookmarkStart w:id="25" w:name="_Toc272185022"/>
      <w:r w:rsidRPr="00FB3DF2">
        <w:rPr>
          <w:rFonts w:ascii="Cambria" w:eastAsia="Times New Roman" w:hAnsi="Cambria" w:cs="Times New Roman"/>
          <w:bCs/>
          <w:kern w:val="32"/>
          <w:sz w:val="32"/>
          <w:szCs w:val="32"/>
          <w:lang w:val="en-US"/>
        </w:rPr>
        <w:lastRenderedPageBreak/>
        <w:t>Резултати анкете</w:t>
      </w:r>
      <w:bookmarkEnd w:id="23"/>
      <w:bookmarkEnd w:id="24"/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/>
          <w:bCs/>
          <w:i/>
          <w:iCs/>
          <w:sz w:val="24"/>
          <w:szCs w:val="24"/>
          <w:lang w:val="en-US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b/>
          <w:lang w:val="en-US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</w:pPr>
      <w:bookmarkStart w:id="26" w:name="_Toc416355286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  <w:t>Студији и службе</w:t>
      </w:r>
      <w:bookmarkEnd w:id="26"/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Cs/>
          <w:i/>
          <w:iCs/>
          <w:sz w:val="20"/>
          <w:lang w:val="sr-Cyrl-BA"/>
        </w:rPr>
      </w:pPr>
      <w:r w:rsidRPr="00FB3DF2">
        <w:rPr>
          <w:rFonts w:ascii="Cambria" w:eastAsia="Calibri" w:hAnsi="Cambria" w:cs="Times New Roman"/>
          <w:bCs/>
          <w:iCs/>
          <w:sz w:val="20"/>
          <w:lang w:val="sr-Cyrl-BA"/>
        </w:rPr>
        <w:t xml:space="preserve">Табела 2. </w:t>
      </w:r>
      <w:r w:rsidRPr="00FB3DF2">
        <w:rPr>
          <w:rFonts w:ascii="Cambria" w:eastAsia="Calibri" w:hAnsi="Cambria" w:cs="Times New Roman"/>
          <w:bCs/>
          <w:i/>
          <w:iCs/>
          <w:sz w:val="20"/>
          <w:lang w:val="sr-Cyrl-BA"/>
        </w:rPr>
        <w:t>Табеларни приказ просјечне оцјене студија и служби са универзитетског нивоа</w:t>
      </w: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Cs/>
          <w:iCs/>
          <w:sz w:val="20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14925" cy="30861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Cs/>
          <w:iCs/>
          <w:sz w:val="20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b/>
          <w:bCs/>
          <w:iCs/>
          <w:lang w:val="sr-Cyrl-BA"/>
        </w:rPr>
      </w:pPr>
    </w:p>
    <w:p w:rsidR="00FB3DF2" w:rsidRPr="00FB3DF2" w:rsidRDefault="00FB3DF2" w:rsidP="00FB3DF2">
      <w:pPr>
        <w:spacing w:after="200" w:line="276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734050" cy="2867025"/>
            <wp:effectExtent l="0" t="0" r="0" b="0"/>
            <wp:docPr id="17" name="Char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5.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студија и служби са универзитетског нивоа</w:t>
      </w: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jc w:val="center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4543425" cy="3448050"/>
            <wp:effectExtent l="0" t="0" r="0" b="0"/>
            <wp:docPr id="16" name="Char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 xml:space="preserve">Слика 6. </w:t>
      </w:r>
      <w:r w:rsidRPr="00FB3DF2">
        <w:rPr>
          <w:rFonts w:ascii="Cambria" w:eastAsia="Calibri" w:hAnsi="Cambria" w:cs="Times New Roman"/>
          <w:i/>
          <w:lang w:val="sr-Cyrl-BA"/>
        </w:rPr>
        <w:t>Графички приказ просјечне оцјене студија и служби по факултетима и академијама</w:t>
      </w:r>
      <w:r w:rsidR="006A135D">
        <w:rPr>
          <w:rFonts w:ascii="Cambria" w:eastAsia="Calibri" w:hAnsi="Cambria" w:cs="Times New Roman"/>
          <w:i/>
          <w:lang w:val="sr-Cyrl-BA"/>
        </w:rPr>
        <w:t xml:space="preserve"> </w:t>
      </w:r>
      <w:r w:rsidR="006A135D" w:rsidRPr="006A135D">
        <w:rPr>
          <w:rFonts w:ascii="Cambria" w:eastAsia="Calibri" w:hAnsi="Cambria" w:cs="Times New Roman"/>
          <w:i/>
          <w:lang w:val="sr-Cyrl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</w:pPr>
      <w:bookmarkStart w:id="27" w:name="_Toc416355287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  <w:lastRenderedPageBreak/>
        <w:t>Организација студија</w:t>
      </w:r>
      <w:bookmarkEnd w:id="27"/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 xml:space="preserve">Табела 3. </w:t>
      </w:r>
      <w:r w:rsidRPr="00FB3DF2">
        <w:rPr>
          <w:rFonts w:ascii="Cambria" w:eastAsia="Calibri" w:hAnsi="Cambria" w:cs="Times New Roman"/>
          <w:bCs/>
          <w:i/>
          <w:iCs/>
          <w:sz w:val="20"/>
          <w:lang w:val="sr-Cyrl-BA"/>
        </w:rPr>
        <w:t>Табеларни приказ просјечне оцјене организације студија са универзитетског нивоа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14925" cy="3076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bCs/>
          <w:i/>
          <w:iCs/>
          <w:sz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          </w:t>
      </w: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038725" cy="3629025"/>
            <wp:effectExtent l="0" t="0" r="0" b="0"/>
            <wp:docPr id="14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200" w:line="276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7.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организације студија 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lastRenderedPageBreak/>
        <w:drawing>
          <wp:inline distT="0" distB="0" distL="0" distR="0">
            <wp:extent cx="4543425" cy="3267075"/>
            <wp:effectExtent l="0" t="0" r="0" b="0"/>
            <wp:docPr id="13" name="Char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mbria" w:eastAsia="Calibri" w:hAnsi="Cambria" w:cs="Times New Roman"/>
          <w:lang w:val="sr-Cyrl-BA"/>
        </w:rPr>
        <w:t xml:space="preserve">Слика 8. </w:t>
      </w:r>
      <w:r w:rsidRPr="00FB3DF2">
        <w:rPr>
          <w:rFonts w:ascii="Cambria" w:eastAsia="Calibri" w:hAnsi="Cambria" w:cs="Times New Roman"/>
          <w:i/>
          <w:lang w:val="sr-Cyrl-BA"/>
        </w:rPr>
        <w:t>Графички приказ просјечне оцјене организације студија по факултетима и академијама</w:t>
      </w:r>
      <w:r w:rsidR="006A135D">
        <w:rPr>
          <w:rFonts w:ascii="Cambria" w:eastAsia="Calibri" w:hAnsi="Cambria" w:cs="Times New Roman"/>
          <w:i/>
          <w:lang w:val="sr-Cyrl-BA"/>
        </w:rPr>
        <w:t xml:space="preserve"> </w:t>
      </w:r>
      <w:r w:rsidR="006A135D" w:rsidRPr="006A135D">
        <w:rPr>
          <w:rFonts w:ascii="Cambria" w:eastAsia="Calibri" w:hAnsi="Cambria" w:cs="Times New Roman"/>
          <w:i/>
          <w:lang w:val="sr-Cyrl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</w:pPr>
      <w:bookmarkStart w:id="28" w:name="_Toc416355288"/>
      <w:r w:rsidRPr="00FB3DF2"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  <w:lastRenderedPageBreak/>
        <w:t>Студентска служба</w:t>
      </w:r>
      <w:bookmarkEnd w:id="28"/>
    </w:p>
    <w:p w:rsidR="00FB3DF2" w:rsidRPr="00FB3DF2" w:rsidRDefault="00FB3DF2" w:rsidP="00FB3DF2">
      <w:pPr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sz w:val="20"/>
          <w:szCs w:val="20"/>
          <w:lang w:val="sr-Cyrl-BA"/>
        </w:rPr>
        <w:t xml:space="preserve">Табела 4. </w:t>
      </w:r>
      <w:r w:rsidRPr="00FB3DF2"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  <w:t>Табеларни приказ просјечне оцјене студентских служби са универзитетског нивоа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14925" cy="3076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257800" cy="3695700"/>
            <wp:effectExtent l="0" t="0" r="0" b="0"/>
            <wp:docPr id="11" name="Char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9.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студентских служби 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lastRenderedPageBreak/>
        <w:drawing>
          <wp:inline distT="0" distB="0" distL="0" distR="0">
            <wp:extent cx="4543425" cy="3819525"/>
            <wp:effectExtent l="0" t="0" r="0" b="0"/>
            <wp:docPr id="10" name="Char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10.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студентских служби по факултетима и академијама</w:t>
      </w:r>
      <w:r w:rsid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 xml:space="preserve"> </w:t>
      </w:r>
      <w:r w:rsidR="006A135D" w:rsidRP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6A135D" w:rsidRPr="00FB3DF2" w:rsidRDefault="006A135D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sz w:val="24"/>
          <w:szCs w:val="28"/>
          <w:lang w:val="sr-Cyrl-BA"/>
        </w:rPr>
      </w:pPr>
      <w:bookmarkStart w:id="29" w:name="_Toc416355289"/>
      <w:r w:rsidRPr="00FB3DF2"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  <w:lastRenderedPageBreak/>
        <w:t>Библиотека</w:t>
      </w:r>
      <w:bookmarkEnd w:id="29"/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sz w:val="20"/>
          <w:szCs w:val="20"/>
          <w:lang w:val="sr-Cyrl-BA"/>
        </w:rPr>
        <w:t xml:space="preserve">Табела 5. </w:t>
      </w:r>
      <w:r w:rsidRPr="00FB3DF2"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  <w:t>Табеларни приказ просјечне оцјене библиотека 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sz w:val="20"/>
          <w:szCs w:val="20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14925" cy="3076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91125" cy="3714750"/>
            <wp:effectExtent l="0" t="0" r="0" b="0"/>
            <wp:docPr id="8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11.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библиотека 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lastRenderedPageBreak/>
        <w:drawing>
          <wp:inline distT="0" distB="0" distL="0" distR="0">
            <wp:extent cx="4695825" cy="3714750"/>
            <wp:effectExtent l="0" t="0" r="0" b="0"/>
            <wp:docPr id="7" name="Char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12.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библиотека по факултетима и академијама</w:t>
      </w:r>
      <w:r w:rsid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 xml:space="preserve"> </w:t>
      </w:r>
      <w:r w:rsidR="006A135D" w:rsidRP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</w:pPr>
      <w:bookmarkStart w:id="30" w:name="_Toc416355290"/>
      <w:r w:rsidRPr="00FB3DF2"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  <w:lastRenderedPageBreak/>
        <w:t>Остале административне службе</w:t>
      </w:r>
      <w:bookmarkEnd w:id="30"/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sz w:val="24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sz w:val="20"/>
          <w:szCs w:val="20"/>
          <w:lang w:val="sr-Cyrl-BA"/>
        </w:rPr>
        <w:t xml:space="preserve">Табела 6. </w:t>
      </w:r>
      <w:r w:rsidRPr="00FB3DF2"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  <w:t>Табеларни приказ просјечне оцјене осталих административних служби 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sz w:val="24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sz w:val="24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114925" cy="3286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sz w:val="24"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sz w:val="24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5200650" cy="3209925"/>
            <wp:effectExtent l="0" t="0" r="0" b="0"/>
            <wp:docPr id="5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noProof/>
          <w:lang w:val="sr-Cyrl-BA" w:eastAsia="bs-Latn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13.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осталих административних служби са универзитетског нивоа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sz w:val="24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sz w:val="24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lastRenderedPageBreak/>
        <w:drawing>
          <wp:inline distT="0" distB="0" distL="0" distR="0">
            <wp:extent cx="4533900" cy="3990975"/>
            <wp:effectExtent l="0" t="0" r="0" b="0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14.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Графички приказ просјечне оцјене осталих административних служби по факултетима и академијама</w:t>
      </w:r>
      <w:r w:rsid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 xml:space="preserve"> </w:t>
      </w:r>
      <w:r w:rsidR="006A135D" w:rsidRPr="006A135D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у анкети за љетни семестар 2016/17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sz w:val="24"/>
          <w:lang w:val="sr-Cyrl-BA"/>
        </w:rPr>
        <w:sectPr w:rsidR="00FB3DF2" w:rsidRPr="00FB3DF2" w:rsidSect="00FB3DF2">
          <w:headerReference w:type="default" r:id="rId27"/>
          <w:footerReference w:type="default" r:id="rId28"/>
          <w:footerReference w:type="first" r:id="rId29"/>
          <w:pgSz w:w="11907" w:h="16839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</w:pPr>
      <w:bookmarkStart w:id="31" w:name="_Toc416355291"/>
      <w:bookmarkStart w:id="32" w:name="_Toc272185025"/>
      <w:bookmarkEnd w:id="25"/>
      <w:r w:rsidRPr="00FB3DF2">
        <w:rPr>
          <w:rFonts w:ascii="Cambria" w:eastAsia="Times New Roman" w:hAnsi="Cambria" w:cs="Times New Roman"/>
          <w:bCs/>
          <w:iCs/>
          <w:sz w:val="24"/>
          <w:szCs w:val="24"/>
          <w:lang w:val="sr-Cyrl-BA"/>
        </w:rPr>
        <w:lastRenderedPageBreak/>
        <w:t>Наставни кадар</w:t>
      </w:r>
      <w:bookmarkEnd w:id="31"/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i/>
          <w:sz w:val="20"/>
          <w:lang w:val="sr-Cyrl-BA"/>
        </w:rPr>
      </w:pPr>
      <w:r w:rsidRPr="00FB3DF2">
        <w:rPr>
          <w:rFonts w:ascii="Cambria" w:eastAsia="Calibri" w:hAnsi="Cambria" w:cs="Times New Roman"/>
          <w:sz w:val="20"/>
          <w:lang w:val="sr-Cyrl-BA"/>
        </w:rPr>
        <w:t xml:space="preserve">Табела 7. </w:t>
      </w:r>
      <w:r w:rsidRPr="00FB3DF2">
        <w:rPr>
          <w:rFonts w:ascii="Cambria" w:eastAsia="Calibri" w:hAnsi="Cambria" w:cs="Times New Roman"/>
          <w:i/>
          <w:sz w:val="20"/>
          <w:lang w:val="sr-Cyrl-BA"/>
        </w:rPr>
        <w:t>Табеларни приказ просјечне оцјене наставног кадра са универзитетског нивоа</w:t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i/>
          <w:lang w:val="sr-Cyrl-BA"/>
        </w:rPr>
      </w:pPr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4819650" cy="327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spacing w:after="0" w:line="240" w:lineRule="auto"/>
        <w:jc w:val="center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drawing>
          <wp:inline distT="0" distB="0" distL="0" distR="0">
            <wp:extent cx="4953000" cy="2743200"/>
            <wp:effectExtent l="0" t="0" r="0" b="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15.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 xml:space="preserve">Графички приказ просјечне оцјене наставног кадра  </w:t>
      </w:r>
      <w:r w:rsidRPr="00FB3DF2"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  <w:t xml:space="preserve">за љетни семестар 2016/17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са универзитетског нивоа</w:t>
      </w:r>
    </w:p>
    <w:p w:rsidR="00FB3DF2" w:rsidRPr="00FB3DF2" w:rsidRDefault="00FB3DF2" w:rsidP="00FB3DF2">
      <w:pPr>
        <w:spacing w:after="0" w:line="240" w:lineRule="auto"/>
        <w:rPr>
          <w:rFonts w:ascii="Cambria" w:eastAsia="Calibri" w:hAnsi="Cambria" w:cs="Times New Roman"/>
          <w:lang w:val="sr-Cyrl-BA"/>
        </w:rPr>
      </w:pPr>
    </w:p>
    <w:bookmarkEnd w:id="32"/>
    <w:p w:rsidR="00FB3DF2" w:rsidRPr="00FB3DF2" w:rsidRDefault="00FB3DF2" w:rsidP="00FB3DF2">
      <w:pPr>
        <w:spacing w:after="200" w:line="276" w:lineRule="auto"/>
        <w:jc w:val="center"/>
        <w:rPr>
          <w:rFonts w:ascii="Calibri" w:eastAsia="Calibri" w:hAnsi="Calibri" w:cs="Times New Roman"/>
          <w:lang w:val="sr-Latn-BA"/>
        </w:rPr>
      </w:pPr>
      <w:r w:rsidRPr="00FB3DF2">
        <w:rPr>
          <w:rFonts w:ascii="Calibri" w:eastAsia="Calibri" w:hAnsi="Calibri" w:cs="Times New Roman"/>
          <w:noProof/>
          <w:lang w:eastAsia="bs-Latn-BA"/>
        </w:rPr>
        <w:lastRenderedPageBreak/>
        <w:drawing>
          <wp:inline distT="0" distB="0" distL="0" distR="0">
            <wp:extent cx="4543425" cy="4076700"/>
            <wp:effectExtent l="0" t="0" r="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B3DF2" w:rsidRPr="00FB3DF2" w:rsidRDefault="00FB3DF2" w:rsidP="00FB3DF2">
      <w:pPr>
        <w:spacing w:after="0" w:line="240" w:lineRule="auto"/>
        <w:jc w:val="center"/>
        <w:rPr>
          <w:rFonts w:ascii="Cambria" w:eastAsia="Calibri" w:hAnsi="Cambria" w:cs="Times New Roman"/>
          <w:b/>
          <w:bCs/>
          <w:i/>
          <w:iCs/>
          <w:sz w:val="20"/>
          <w:szCs w:val="20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ab/>
      </w:r>
      <w:r w:rsidRPr="00FB3DF2">
        <w:rPr>
          <w:rFonts w:ascii="Cambria" w:eastAsia="Calibri" w:hAnsi="Cambria" w:cs="Times New Roman"/>
          <w:noProof/>
          <w:sz w:val="20"/>
          <w:szCs w:val="20"/>
          <w:lang w:val="sr-Cyrl-BA" w:eastAsia="bs-Latn-BA"/>
        </w:rPr>
        <w:t xml:space="preserve">Слика 16.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 xml:space="preserve">Графички приказ просјечне оцјене наставног кадра  </w:t>
      </w:r>
      <w:r w:rsidRPr="00FB3DF2">
        <w:rPr>
          <w:rFonts w:ascii="Cambria" w:eastAsia="Calibri" w:hAnsi="Cambria" w:cs="Times New Roman"/>
          <w:bCs/>
          <w:i/>
          <w:iCs/>
          <w:sz w:val="20"/>
          <w:szCs w:val="20"/>
          <w:lang w:val="sr-Cyrl-BA"/>
        </w:rPr>
        <w:t xml:space="preserve">за љетни семестар 2016/17 </w:t>
      </w:r>
      <w:r w:rsidRPr="00FB3DF2">
        <w:rPr>
          <w:rFonts w:ascii="Cambria" w:eastAsia="Calibri" w:hAnsi="Cambria" w:cs="Times New Roman"/>
          <w:i/>
          <w:noProof/>
          <w:sz w:val="20"/>
          <w:szCs w:val="20"/>
          <w:lang w:val="sr-Cyrl-BA" w:eastAsia="bs-Latn-BA"/>
        </w:rPr>
        <w:t>са универзитетског нивоа</w:t>
      </w: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200" w:line="276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keepNext/>
        <w:spacing w:after="0" w:line="240" w:lineRule="auto"/>
        <w:outlineLvl w:val="1"/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</w:pPr>
      <w:bookmarkStart w:id="33" w:name="_Toc416355292"/>
      <w:r w:rsidRPr="00FB3DF2">
        <w:rPr>
          <w:rFonts w:ascii="Cambria" w:eastAsia="Times New Roman" w:hAnsi="Cambria" w:cs="Times New Roman"/>
          <w:bCs/>
          <w:iCs/>
          <w:sz w:val="24"/>
          <w:szCs w:val="28"/>
          <w:lang w:val="sr-Cyrl-BA"/>
        </w:rPr>
        <w:lastRenderedPageBreak/>
        <w:t>Активности по спроведеном анкетирању</w:t>
      </w:r>
      <w:bookmarkEnd w:id="33"/>
    </w:p>
    <w:p w:rsidR="00FB3DF2" w:rsidRPr="00FB3DF2" w:rsidRDefault="00FB3DF2" w:rsidP="00FB3DF2">
      <w:pPr>
        <w:tabs>
          <w:tab w:val="left" w:pos="2830"/>
        </w:tabs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tabs>
          <w:tab w:val="left" w:pos="2830"/>
        </w:tabs>
        <w:spacing w:after="0" w:line="240" w:lineRule="auto"/>
        <w:rPr>
          <w:rFonts w:ascii="Calibri" w:eastAsia="Calibri" w:hAnsi="Calibri" w:cs="Times New Roman"/>
          <w:lang w:val="sr-Cyrl-BA"/>
        </w:rPr>
      </w:pPr>
    </w:p>
    <w:p w:rsidR="00FB3DF2" w:rsidRPr="00FB3DF2" w:rsidRDefault="00FB3DF2" w:rsidP="00FB3DF2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Извјештај о резултатима студентског вредновања организационе јединице одговорна Комисија за спровођење је обавезна доставити на прво н</w:t>
      </w:r>
      <w:r w:rsidR="006A135D">
        <w:rPr>
          <w:rFonts w:ascii="Calibri" w:eastAsia="Calibri" w:hAnsi="Calibri" w:cs="Times New Roman"/>
          <w:lang w:val="sr-Cyrl-BA"/>
        </w:rPr>
        <w:t>а</w:t>
      </w:r>
      <w:r w:rsidRPr="00FB3DF2">
        <w:rPr>
          <w:rFonts w:ascii="Calibri" w:eastAsia="Calibri" w:hAnsi="Calibri" w:cs="Times New Roman"/>
          <w:lang w:val="sr-Cyrl-BA"/>
        </w:rPr>
        <w:t>ставно-научно односно наставно-умјетничко вијеће организационе јединице након спроведеног поступка вредновања и извјештавања Сената. Садржај извјештаја описан је у Правилнику о студентском вредновању квалитета студија у члану 16. став 2.</w:t>
      </w:r>
    </w:p>
    <w:p w:rsidR="00FB3DF2" w:rsidRPr="00FB3DF2" w:rsidRDefault="00FB3DF2" w:rsidP="00FB3DF2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Извјештај о резултатима студентског вредновања Универзитета Канцеларија за осигурање квалитета је дужна доставити Комитету за осигурање квалитета, а касније Сенату Универзитета у року од 40 дана од дана спроведеног вредновања на Универзитету (на свим организационим јединицама).</w:t>
      </w:r>
    </w:p>
    <w:p w:rsidR="00FB3DF2" w:rsidRPr="00FB3DF2" w:rsidRDefault="006A135D" w:rsidP="00FB3DF2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/>
        <w:jc w:val="both"/>
        <w:rPr>
          <w:rFonts w:ascii="Calibri" w:eastAsia="Calibri" w:hAnsi="Calibri" w:cs="Times New Roman"/>
          <w:lang w:val="sr-Cyrl-BA"/>
        </w:rPr>
      </w:pPr>
      <w:r>
        <w:rPr>
          <w:rFonts w:ascii="Calibri" w:eastAsia="Calibri" w:hAnsi="Calibri" w:cs="Times New Roman"/>
          <w:lang w:val="sr-Cyrl-BA"/>
        </w:rPr>
        <w:t>М</w:t>
      </w:r>
      <w:r w:rsidR="00FB3DF2" w:rsidRPr="00FB3DF2">
        <w:rPr>
          <w:rFonts w:ascii="Calibri" w:eastAsia="Calibri" w:hAnsi="Calibri" w:cs="Times New Roman"/>
          <w:lang w:val="sr-Cyrl-BA"/>
        </w:rPr>
        <w:t>ишљење о спроведеној студентској анкети</w:t>
      </w:r>
      <w:r>
        <w:rPr>
          <w:rFonts w:ascii="Calibri" w:eastAsia="Calibri" w:hAnsi="Calibri" w:cs="Times New Roman"/>
          <w:lang w:val="sr-Cyrl-BA"/>
        </w:rPr>
        <w:t xml:space="preserve"> од стране Канцеларије за осигурање квалитета</w:t>
      </w:r>
      <w:r w:rsidR="00FB3DF2" w:rsidRPr="00FB3DF2">
        <w:rPr>
          <w:rFonts w:ascii="Calibri" w:eastAsia="Calibri" w:hAnsi="Calibri" w:cs="Times New Roman"/>
          <w:lang w:val="sr-Cyrl-BA"/>
        </w:rPr>
        <w:t>: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20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Потребно је имати на уму да се путем ове анкете оцјењује задовољство нашег кључног корисника – студента, што представља једну од кључних ствари у осигурању квалитета, тако да ми на Универзитету требамо чинити све што можемо да унаприједимо квалитет нашег рада како бисмо добили још задовољније студенте</w:t>
      </w:r>
      <w:r w:rsidR="006A135D">
        <w:rPr>
          <w:rFonts w:ascii="Calibri" w:eastAsia="Calibri" w:hAnsi="Calibri" w:cs="Times New Roman"/>
          <w:lang w:val="sr-Cyrl-BA"/>
        </w:rPr>
        <w:t>, а не повећан број исписаних студената који рапидно расте</w:t>
      </w:r>
      <w:r w:rsidRPr="00FB3DF2">
        <w:rPr>
          <w:rFonts w:ascii="Calibri" w:eastAsia="Calibri" w:hAnsi="Calibri" w:cs="Times New Roman"/>
          <w:lang w:val="sr-Cyrl-BA"/>
        </w:rPr>
        <w:t>.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20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Јединствен смо Универзитет у региону и много шире, који слуша глас студената кроз ову анкету </w:t>
      </w:r>
      <w:r w:rsidR="006A135D">
        <w:rPr>
          <w:rFonts w:ascii="Calibri" w:eastAsia="Calibri" w:hAnsi="Calibri" w:cs="Times New Roman"/>
          <w:lang w:val="sr-Cyrl-BA"/>
        </w:rPr>
        <w:t xml:space="preserve">али не унапређује ствари </w:t>
      </w:r>
      <w:r w:rsidRPr="00FB3DF2">
        <w:rPr>
          <w:rFonts w:ascii="Calibri" w:eastAsia="Calibri" w:hAnsi="Calibri" w:cs="Times New Roman"/>
          <w:lang w:val="sr-Cyrl-BA"/>
        </w:rPr>
        <w:t xml:space="preserve">у оној мјери у којој је то могуће, </w:t>
      </w:r>
      <w:r w:rsidR="006A135D">
        <w:rPr>
          <w:rFonts w:ascii="Calibri" w:eastAsia="Calibri" w:hAnsi="Calibri" w:cs="Times New Roman"/>
          <w:lang w:val="sr-Cyrl-BA"/>
        </w:rPr>
        <w:t>међутим</w:t>
      </w:r>
      <w:r w:rsidRPr="00FB3DF2">
        <w:rPr>
          <w:rFonts w:ascii="Calibri" w:eastAsia="Calibri" w:hAnsi="Calibri" w:cs="Times New Roman"/>
          <w:lang w:val="sr-Cyrl-BA"/>
        </w:rPr>
        <w:t xml:space="preserve"> треба схватити да су декани и продекани ти који требају, односно који су најодговорнији да унаприједе квалитет своје организационе јединице у складу са реалним</w:t>
      </w:r>
      <w:r w:rsidR="006A135D">
        <w:rPr>
          <w:rFonts w:ascii="Calibri" w:eastAsia="Calibri" w:hAnsi="Calibri" w:cs="Times New Roman"/>
          <w:lang w:val="sr-Cyrl-BA"/>
        </w:rPr>
        <w:t xml:space="preserve"> и објективним</w:t>
      </w:r>
      <w:r w:rsidRPr="00FB3DF2">
        <w:rPr>
          <w:rFonts w:ascii="Calibri" w:eastAsia="Calibri" w:hAnsi="Calibri" w:cs="Times New Roman"/>
          <w:lang w:val="sr-Cyrl-BA"/>
        </w:rPr>
        <w:t xml:space="preserve"> сугестијама студената,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20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Сенат предлаже превентивне и корективне мјере које требају да се презентују на Вијећима од стране предсједавајућег вијећа/ декана, а затим да се примјене.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20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Превентивне и корективне мјере предложене од стране Сената на факултетима саопштава декан појединачно и усмено запосленим радницима.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720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Евидентно је да су резултати студентске анкете из године у годину све бољи, на основу приказаних оцјена на универзитетском нивоу са све сегмента, дакле присутна је тенденција раста оцјена</w:t>
      </w:r>
      <w:r w:rsidR="00E30471">
        <w:rPr>
          <w:rFonts w:ascii="Calibri" w:eastAsia="Calibri" w:hAnsi="Calibri" w:cs="Times New Roman"/>
          <w:lang w:val="sr-Cyrl-BA"/>
        </w:rPr>
        <w:t>, међутим коментари су доста оштрији у појединим сегментима и за поједине наставнике</w:t>
      </w:r>
      <w:r w:rsidRPr="00FB3DF2">
        <w:rPr>
          <w:rFonts w:ascii="Calibri" w:eastAsia="Calibri" w:hAnsi="Calibri" w:cs="Times New Roman"/>
          <w:lang w:val="sr-Latn-BA"/>
        </w:rPr>
        <w:t>.</w:t>
      </w:r>
      <w:r w:rsidRPr="00FB3DF2">
        <w:rPr>
          <w:rFonts w:ascii="Calibri" w:eastAsia="Calibri" w:hAnsi="Calibri" w:cs="Times New Roman"/>
          <w:lang w:val="sr-Cyrl-BA"/>
        </w:rPr>
        <w:t xml:space="preserve"> 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Потребно је превентивно дјеловати на све службе, предмете и запослене који су оцјењени са оцјеном нижом од 2,5, поштујући репрезентативност узорка. Превенција је неопходна због лоших резултата, подизања свијести наставног особља о оцјењивању њиховог рада од стране студената и унапређења квалитета извођења наставног процеса. </w:t>
      </w:r>
    </w:p>
    <w:p w:rsidR="00FB3DF2" w:rsidRPr="00C0023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C00232">
        <w:rPr>
          <w:rFonts w:ascii="Calibri" w:eastAsia="Calibri" w:hAnsi="Calibri" w:cs="Times New Roman"/>
          <w:lang w:val="sr-Cyrl-BA"/>
        </w:rPr>
        <w:t xml:space="preserve">Корисничка имена и лозинке са којима студенти врше оцјењивања </w:t>
      </w:r>
      <w:r w:rsidR="00E30471" w:rsidRPr="00C00232">
        <w:rPr>
          <w:rFonts w:ascii="Calibri" w:eastAsia="Calibri" w:hAnsi="Calibri" w:cs="Times New Roman"/>
          <w:lang w:val="sr-Cyrl-BA"/>
        </w:rPr>
        <w:t xml:space="preserve">у анкети </w:t>
      </w:r>
      <w:r w:rsidRPr="00C00232">
        <w:rPr>
          <w:rFonts w:ascii="Calibri" w:eastAsia="Calibri" w:hAnsi="Calibri" w:cs="Times New Roman"/>
          <w:lang w:val="sr-Cyrl-BA"/>
        </w:rPr>
        <w:t>потребно је да буду сачувана до краја процеса анкетирања, након чега са истим тим лозинкама студенти мог</w:t>
      </w:r>
      <w:r w:rsidR="00E30471" w:rsidRPr="00C00232">
        <w:rPr>
          <w:rFonts w:ascii="Calibri" w:eastAsia="Calibri" w:hAnsi="Calibri" w:cs="Times New Roman"/>
          <w:lang w:val="sr-Cyrl-BA"/>
        </w:rPr>
        <w:t>у да погледају резултате анкете!</w:t>
      </w:r>
    </w:p>
    <w:p w:rsidR="00E30471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Анкетом је уочено да је број првоуписаних студената који имају право на анкетирање драстично смањен. Поређење: у љетном семестру 2012/13 број првоуписаних студената који је имао право на анкетирање је био </w:t>
      </w:r>
      <w:r w:rsidRPr="00FB3DF2">
        <w:rPr>
          <w:rFonts w:ascii="Calibri" w:eastAsia="Times New Roman" w:hAnsi="Calibri" w:cs="Calibri"/>
          <w:color w:val="000000"/>
          <w:lang w:eastAsia="bs-Latn-BA"/>
        </w:rPr>
        <w:t>7</w:t>
      </w:r>
      <w:r w:rsidRPr="00FB3DF2">
        <w:rPr>
          <w:rFonts w:ascii="Calibri" w:eastAsia="Times New Roman" w:hAnsi="Calibri" w:cs="Calibri"/>
          <w:color w:val="000000"/>
          <w:lang w:val="sr-Cyrl-BA" w:eastAsia="bs-Latn-BA"/>
        </w:rPr>
        <w:t>.</w:t>
      </w:r>
      <w:r w:rsidRPr="00FB3DF2">
        <w:rPr>
          <w:rFonts w:ascii="Calibri" w:eastAsia="Times New Roman" w:hAnsi="Calibri" w:cs="Calibri"/>
          <w:color w:val="000000"/>
          <w:lang w:eastAsia="bs-Latn-BA"/>
        </w:rPr>
        <w:t>732</w:t>
      </w:r>
      <w:r w:rsidRPr="00FB3DF2">
        <w:rPr>
          <w:rFonts w:ascii="Calibri" w:eastAsia="Calibri" w:hAnsi="Calibri" w:cs="Times New Roman"/>
          <w:lang w:val="sr-Cyrl-BA"/>
        </w:rPr>
        <w:t>, а данас у љетном семестру  2016/1</w:t>
      </w:r>
      <w:r w:rsidRPr="00FB3DF2">
        <w:rPr>
          <w:rFonts w:ascii="Calibri" w:eastAsia="Calibri" w:hAnsi="Calibri" w:cs="Calibri"/>
          <w:lang w:val="sr-Cyrl-BA"/>
        </w:rPr>
        <w:t>7</w:t>
      </w:r>
      <w:r w:rsidRPr="00FB3DF2">
        <w:rPr>
          <w:rFonts w:ascii="Calibri" w:eastAsia="Calibri" w:hAnsi="Calibri" w:cs="Times New Roman"/>
          <w:lang w:val="sr-Cyrl-BA"/>
        </w:rPr>
        <w:t xml:space="preserve"> тај број је </w:t>
      </w:r>
      <w:r w:rsidRPr="00FB3DF2">
        <w:rPr>
          <w:rFonts w:ascii="Calibri" w:eastAsia="Calibri" w:hAnsi="Calibri" w:cs="Calibri"/>
          <w:lang w:val="sr-Cyrl-BA"/>
        </w:rPr>
        <w:t xml:space="preserve">5.520, </w:t>
      </w:r>
      <w:r w:rsidR="00E30471">
        <w:rPr>
          <w:rFonts w:ascii="Calibri" w:eastAsia="Calibri" w:hAnsi="Calibri" w:cs="Calibri"/>
          <w:lang w:val="sr-Cyrl-BA"/>
        </w:rPr>
        <w:t xml:space="preserve">дакле </w:t>
      </w:r>
      <w:r w:rsidRPr="00FB3DF2">
        <w:rPr>
          <w:rFonts w:ascii="Calibri" w:eastAsia="Calibri" w:hAnsi="Calibri" w:cs="Calibri"/>
          <w:lang w:val="sr-Cyrl-BA"/>
        </w:rPr>
        <w:t>за 2.212</w:t>
      </w:r>
      <w:r w:rsidRPr="00FB3DF2">
        <w:rPr>
          <w:rFonts w:ascii="Calibri" w:eastAsia="Calibri" w:hAnsi="Calibri" w:cs="Times New Roman"/>
          <w:lang w:val="sr-Cyrl-BA"/>
        </w:rPr>
        <w:t xml:space="preserve"> мањи. </w:t>
      </w:r>
    </w:p>
    <w:p w:rsidR="00E30471" w:rsidRDefault="00FB3DF2" w:rsidP="00E30471">
      <w:pPr>
        <w:tabs>
          <w:tab w:val="left" w:pos="709"/>
        </w:tabs>
        <w:spacing w:after="0" w:line="240" w:lineRule="auto"/>
        <w:ind w:left="786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Мјера: </w:t>
      </w:r>
    </w:p>
    <w:p w:rsidR="00E30471" w:rsidRDefault="00FB3DF2" w:rsidP="00E30471">
      <w:pPr>
        <w:tabs>
          <w:tab w:val="left" w:pos="709"/>
        </w:tabs>
        <w:spacing w:after="0" w:line="240" w:lineRule="auto"/>
        <w:ind w:left="786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1. усвојити</w:t>
      </w:r>
      <w:r w:rsidRPr="00FB3DF2">
        <w:rPr>
          <w:rFonts w:ascii="Calibri" w:eastAsia="Calibri" w:hAnsi="Calibri" w:cs="Times New Roman"/>
          <w:b/>
          <w:sz w:val="24"/>
          <w:szCs w:val="24"/>
          <w:lang w:val="sr-Cyrl-BA"/>
        </w:rPr>
        <w:t xml:space="preserve"> </w:t>
      </w:r>
      <w:r w:rsidRPr="00FB3DF2">
        <w:rPr>
          <w:rFonts w:ascii="Calibri" w:eastAsia="Calibri" w:hAnsi="Calibri" w:cs="Times New Roman"/>
          <w:lang w:val="sr-Cyrl-BA"/>
        </w:rPr>
        <w:t>закључак да једини прави број студената на Универзитету треба да дође из информационог система гдје се води евиденција о сваком студенту понаособ, и првог и другог циклуса</w:t>
      </w:r>
      <w:r w:rsidR="00E30471">
        <w:rPr>
          <w:rFonts w:ascii="Calibri" w:eastAsia="Calibri" w:hAnsi="Calibri" w:cs="Times New Roman"/>
          <w:lang w:val="sr-Cyrl-BA"/>
        </w:rPr>
        <w:t>, као и трећег циклуса</w:t>
      </w:r>
      <w:r w:rsidRPr="00FB3DF2">
        <w:rPr>
          <w:rFonts w:ascii="Calibri" w:eastAsia="Calibri" w:hAnsi="Calibri" w:cs="Times New Roman"/>
          <w:lang w:val="sr-Cyrl-BA"/>
        </w:rPr>
        <w:t xml:space="preserve">. Унаприједити информациони систем у овом правцу. </w:t>
      </w:r>
    </w:p>
    <w:p w:rsidR="00FB3DF2" w:rsidRPr="00FB3DF2" w:rsidRDefault="00FB3DF2" w:rsidP="00E30471">
      <w:pPr>
        <w:tabs>
          <w:tab w:val="left" w:pos="709"/>
        </w:tabs>
        <w:spacing w:after="0" w:line="240" w:lineRule="auto"/>
        <w:ind w:left="786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lastRenderedPageBreak/>
        <w:t>2. Побољшати маркетинг Универзитета у правцу активнијег јавног промовисања како би се привукао и већи број студената и квалитетнији будући студенти.</w:t>
      </w:r>
    </w:p>
    <w:p w:rsidR="00FB3DF2" w:rsidRPr="00FB3DF2" w:rsidRDefault="00FB3DF2" w:rsidP="00FB3DF2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Поштујући добровољност студената који излазе на анкету, потребно је стимулисати студенте да још више излазе на анкету како би се могла остварити репрезентативност узорка (та табела о репрезентативности је јавно доступна на веб страници), јер уколико једног наставника, један предмет или неку службу, оцијени само 8 студената од укупно 400 њих на факултету или 40 на години студија онда се таква ситуација не може уопште узети у обзир као мјеродавна или репрезентативна.</w:t>
      </w:r>
    </w:p>
    <w:p w:rsidR="00FB3DF2" w:rsidRPr="00C00232" w:rsidRDefault="00FB3DF2" w:rsidP="00FB3DF2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C00232">
        <w:rPr>
          <w:rFonts w:ascii="Calibri" w:eastAsia="Calibri" w:hAnsi="Calibri" w:cs="Times New Roman"/>
          <w:lang w:val="sr-Cyrl-BA"/>
        </w:rPr>
        <w:t>Потребно је да се представници студената Вијећа факултета активније укључе у цијелу причу, те да на сједницама Вијећа траже да се њихови коментари и сугестије наведени у резултатима анкете испоштују и да се унаприједи квалитет у оној мјери у којој је то могуће.</w:t>
      </w:r>
    </w:p>
    <w:p w:rsidR="00FB3DF2" w:rsidRPr="00FB3DF2" w:rsidRDefault="00FB3DF2" w:rsidP="00FB3DF2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>Сугерисати менаџментима факултета и академија да пажљивије обрате пажњу на оцјене и коментаре студената за студентске службе и библиотеке јер су то службе са којима студенти највише долазе у контакт.</w:t>
      </w:r>
    </w:p>
    <w:p w:rsidR="00FB3DF2" w:rsidRPr="00FB3DF2" w:rsidRDefault="00FB3DF2" w:rsidP="00FB3DF2">
      <w:pPr>
        <w:numPr>
          <w:ilvl w:val="0"/>
          <w:numId w:val="9"/>
        </w:numPr>
        <w:tabs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lang w:val="sr-Cyrl-BA"/>
        </w:rPr>
      </w:pPr>
      <w:r w:rsidRPr="00FB3DF2">
        <w:rPr>
          <w:rFonts w:ascii="Calibri" w:eastAsia="Calibri" w:hAnsi="Calibri" w:cs="Times New Roman"/>
          <w:lang w:val="sr-Cyrl-BA"/>
        </w:rPr>
        <w:t xml:space="preserve">Свим наставницима и сарадницима одговорна лица по организационим јединицама могу подијелити корисничка имена и лозинке како би могли остварити увид у резултате анкете (од </w:t>
      </w:r>
      <w:r w:rsidRPr="00FB3DF2">
        <w:rPr>
          <w:rFonts w:ascii="Calibri" w:eastAsia="Calibri" w:hAnsi="Calibri" w:cs="Times New Roman"/>
          <w:lang w:val="sr-Latn-BA"/>
        </w:rPr>
        <w:t>15</w:t>
      </w:r>
      <w:r w:rsidRPr="00FB3DF2">
        <w:rPr>
          <w:rFonts w:ascii="Calibri" w:eastAsia="Calibri" w:hAnsi="Calibri" w:cs="Times New Roman"/>
          <w:lang w:val="sr-Cyrl-BA"/>
        </w:rPr>
        <w:t>. јула 2017. године резултати ће бити доступни).</w:t>
      </w:r>
    </w:p>
    <w:p w:rsidR="001F4173" w:rsidRDefault="001F4173">
      <w:bookmarkStart w:id="34" w:name="_GoBack"/>
      <w:bookmarkEnd w:id="34"/>
    </w:p>
    <w:sectPr w:rsidR="001F4173" w:rsidSect="0058538A">
      <w:headerReference w:type="first" r:id="rId3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89B" w:rsidRDefault="00A0389B" w:rsidP="00FB3DF2">
      <w:pPr>
        <w:spacing w:after="0" w:line="240" w:lineRule="auto"/>
      </w:pPr>
      <w:r>
        <w:separator/>
      </w:r>
    </w:p>
  </w:endnote>
  <w:endnote w:type="continuationSeparator" w:id="0">
    <w:p w:rsidR="00A0389B" w:rsidRDefault="00A0389B" w:rsidP="00FB3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F2" w:rsidRDefault="00FB3DF2" w:rsidP="001E6FC9">
    <w:pPr>
      <w:pStyle w:val="Footer"/>
      <w:pBdr>
        <w:top w:val="single" w:sz="4" w:space="1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00232">
      <w:rPr>
        <w:noProof/>
      </w:rPr>
      <w:t>19</w:t>
    </w:r>
    <w:r>
      <w:fldChar w:fldCharType="end"/>
    </w:r>
  </w:p>
  <w:p w:rsidR="00FB3DF2" w:rsidRDefault="00FB3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F2" w:rsidRDefault="00FB3DF2">
    <w:pPr>
      <w:pStyle w:val="Footer"/>
      <w:jc w:val="right"/>
    </w:pPr>
  </w:p>
  <w:p w:rsidR="00FB3DF2" w:rsidRDefault="00FB3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89B" w:rsidRDefault="00A0389B" w:rsidP="00FB3DF2">
      <w:pPr>
        <w:spacing w:after="0" w:line="240" w:lineRule="auto"/>
      </w:pPr>
      <w:r>
        <w:separator/>
      </w:r>
    </w:p>
  </w:footnote>
  <w:footnote w:type="continuationSeparator" w:id="0">
    <w:p w:rsidR="00A0389B" w:rsidRDefault="00A0389B" w:rsidP="00FB3DF2">
      <w:pPr>
        <w:spacing w:after="0" w:line="240" w:lineRule="auto"/>
      </w:pPr>
      <w:r>
        <w:continuationSeparator/>
      </w:r>
    </w:p>
  </w:footnote>
  <w:footnote w:id="1">
    <w:p w:rsidR="00FB3DF2" w:rsidRPr="004974B3" w:rsidRDefault="00FB3DF2" w:rsidP="00FB3DF2">
      <w:pPr>
        <w:pStyle w:val="FootnoteText"/>
        <w:rPr>
          <w:lang w:val="sr-Cyrl-B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val="sr-Cyrl-BA"/>
        </w:rPr>
        <w:t>Народна скупштина Републике Српске (2010): Закон о високом образовању. Бања Лука. Објављен 30.07.2010. године у Службеном гласнику Републике Српске број 73, став (2) члан 77. стр. 12</w:t>
      </w:r>
    </w:p>
  </w:footnote>
  <w:footnote w:id="2">
    <w:p w:rsidR="00FB3DF2" w:rsidRPr="004974B3" w:rsidRDefault="00FB3DF2" w:rsidP="00FB3DF2">
      <w:pPr>
        <w:pStyle w:val="FootnoteText"/>
        <w:rPr>
          <w:lang w:val="sr-Cyrl-B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val="sr-Cyrl-BA"/>
        </w:rPr>
        <w:t>Народна скупштина Републике Српске (2010): Закон о високом образовању. Бања Лука. Објављен 30.07.2010. године у Службеном гласнику Републике Српске број 73, став (2) члан 78. стр. 13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DF2" w:rsidRPr="0058538A" w:rsidRDefault="00FB3DF2" w:rsidP="004974B3">
    <w:pPr>
      <w:pStyle w:val="Header"/>
      <w:pBdr>
        <w:bottom w:val="single" w:sz="4" w:space="1" w:color="auto"/>
      </w:pBdr>
      <w:jc w:val="center"/>
      <w:rPr>
        <w:rFonts w:ascii="Cambria" w:hAnsi="Cambria"/>
        <w:i/>
        <w:sz w:val="16"/>
        <w:szCs w:val="20"/>
        <w:lang w:val="sr-Latn-CS"/>
      </w:rPr>
    </w:pPr>
    <w:r w:rsidRPr="0058538A">
      <w:rPr>
        <w:rFonts w:ascii="Cambria" w:hAnsi="Cambria"/>
        <w:i/>
        <w:sz w:val="16"/>
        <w:szCs w:val="20"/>
        <w:lang w:val="sr-Latn-CS"/>
      </w:rPr>
      <w:t xml:space="preserve">Извјештај о спровођењу електронске студентске анкете у </w:t>
    </w:r>
    <w:r>
      <w:rPr>
        <w:rFonts w:ascii="Cambria" w:hAnsi="Cambria"/>
        <w:i/>
        <w:sz w:val="16"/>
        <w:szCs w:val="20"/>
        <w:lang w:val="sr-Cyrl-BA"/>
      </w:rPr>
      <w:t xml:space="preserve">љетном </w:t>
    </w:r>
    <w:r w:rsidRPr="0058538A">
      <w:rPr>
        <w:rFonts w:ascii="Cambria" w:hAnsi="Cambria"/>
        <w:i/>
        <w:sz w:val="16"/>
        <w:szCs w:val="20"/>
        <w:lang w:val="sr-Latn-CS"/>
      </w:rPr>
      <w:t>семестру академске</w:t>
    </w:r>
    <w:r>
      <w:rPr>
        <w:rFonts w:ascii="Cambria" w:hAnsi="Cambria"/>
        <w:i/>
        <w:sz w:val="16"/>
        <w:szCs w:val="20"/>
        <w:lang w:val="sr-Cyrl-BA"/>
      </w:rPr>
      <w:t xml:space="preserve"> године</w:t>
    </w:r>
    <w:r w:rsidRPr="0058538A">
      <w:rPr>
        <w:rFonts w:ascii="Cambria" w:hAnsi="Cambria"/>
        <w:i/>
        <w:sz w:val="16"/>
        <w:szCs w:val="20"/>
        <w:lang w:val="sr-Latn-CS"/>
      </w:rPr>
      <w:t xml:space="preserve"> 201</w:t>
    </w:r>
    <w:r>
      <w:rPr>
        <w:rFonts w:ascii="Cambria" w:hAnsi="Cambria"/>
        <w:i/>
        <w:sz w:val="16"/>
        <w:szCs w:val="20"/>
        <w:lang w:val="sr-Cyrl-BA"/>
      </w:rPr>
      <w:t>6</w:t>
    </w:r>
    <w:r w:rsidRPr="0058538A">
      <w:rPr>
        <w:rFonts w:ascii="Cambria" w:hAnsi="Cambria"/>
        <w:i/>
        <w:sz w:val="16"/>
        <w:szCs w:val="20"/>
        <w:lang w:val="sr-Latn-CS"/>
      </w:rPr>
      <w:t>/1</w:t>
    </w:r>
    <w:r>
      <w:rPr>
        <w:rFonts w:ascii="Cambria" w:hAnsi="Cambria"/>
        <w:i/>
        <w:sz w:val="16"/>
        <w:szCs w:val="20"/>
        <w:lang w:val="sr-Cyrl-BA"/>
      </w:rPr>
      <w:t>7</w:t>
    </w:r>
    <w:r w:rsidRPr="0058538A">
      <w:rPr>
        <w:rFonts w:ascii="Cambria" w:hAnsi="Cambria"/>
        <w:i/>
        <w:sz w:val="16"/>
        <w:szCs w:val="20"/>
        <w:lang w:val="sr-Latn-C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135" w:rsidRPr="00FE79C5" w:rsidRDefault="0021006D" w:rsidP="00546E8D">
    <w:pPr>
      <w:pStyle w:val="Header"/>
      <w:pBdr>
        <w:bottom w:val="single" w:sz="4" w:space="1" w:color="auto"/>
      </w:pBdr>
      <w:rPr>
        <w:i/>
        <w:sz w:val="20"/>
        <w:szCs w:val="20"/>
        <w:lang w:val="sr-Latn-CS"/>
      </w:rPr>
    </w:pPr>
    <w:r w:rsidRPr="00FE79C5">
      <w:rPr>
        <w:i/>
        <w:sz w:val="20"/>
        <w:szCs w:val="20"/>
        <w:lang w:val="sr-Latn-CS"/>
      </w:rPr>
      <w:t xml:space="preserve">Izvještaj o sprovođenju elektronske studentske ankete u </w:t>
    </w:r>
    <w:r>
      <w:rPr>
        <w:i/>
        <w:sz w:val="20"/>
        <w:szCs w:val="20"/>
        <w:lang w:val="sr-Latn-CS"/>
      </w:rPr>
      <w:t>ljetnom</w:t>
    </w:r>
    <w:r w:rsidRPr="00FE79C5">
      <w:rPr>
        <w:i/>
        <w:sz w:val="20"/>
        <w:szCs w:val="20"/>
        <w:lang w:val="sr-Latn-CS"/>
      </w:rPr>
      <w:t xml:space="preserve"> semestru akademske 20</w:t>
    </w:r>
    <w:r>
      <w:rPr>
        <w:i/>
        <w:sz w:val="20"/>
        <w:szCs w:val="20"/>
        <w:lang w:val="sr-Latn-CS"/>
      </w:rPr>
      <w:t>10</w:t>
    </w:r>
    <w:r w:rsidRPr="00FE79C5">
      <w:rPr>
        <w:i/>
        <w:sz w:val="20"/>
        <w:szCs w:val="20"/>
        <w:lang w:val="sr-Latn-CS"/>
      </w:rPr>
      <w:t>/1</w:t>
    </w:r>
    <w:r>
      <w:rPr>
        <w:i/>
        <w:sz w:val="20"/>
        <w:szCs w:val="20"/>
        <w:lang w:val="sr-Latn-CS"/>
      </w:rPr>
      <w:t>1</w:t>
    </w:r>
    <w:r w:rsidRPr="00FE79C5">
      <w:rPr>
        <w:i/>
        <w:sz w:val="20"/>
        <w:szCs w:val="20"/>
        <w:lang w:val="sr-Latn-CS"/>
      </w:rPr>
      <w:t xml:space="preserve">  godine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24DB2"/>
    <w:multiLevelType w:val="hybridMultilevel"/>
    <w:tmpl w:val="64FEF84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5423"/>
    <w:multiLevelType w:val="hybridMultilevel"/>
    <w:tmpl w:val="C0087718"/>
    <w:lvl w:ilvl="0" w:tplc="E100693C">
      <w:start w:val="4"/>
      <w:numFmt w:val="bullet"/>
      <w:lvlText w:val="-"/>
      <w:lvlJc w:val="left"/>
      <w:pPr>
        <w:ind w:left="495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1A916DDC"/>
    <w:multiLevelType w:val="hybridMultilevel"/>
    <w:tmpl w:val="E9F2B0B4"/>
    <w:lvl w:ilvl="0" w:tplc="C93465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A3466"/>
    <w:multiLevelType w:val="hybridMultilevel"/>
    <w:tmpl w:val="845C3B9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D6244"/>
    <w:multiLevelType w:val="hybridMultilevel"/>
    <w:tmpl w:val="29FE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C7E2F"/>
    <w:multiLevelType w:val="hybridMultilevel"/>
    <w:tmpl w:val="6668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F485B"/>
    <w:multiLevelType w:val="hybridMultilevel"/>
    <w:tmpl w:val="4678EF72"/>
    <w:lvl w:ilvl="0" w:tplc="6D62D9E8">
      <w:start w:val="1"/>
      <w:numFmt w:val="bullet"/>
      <w:lvlText w:val="-"/>
      <w:lvlJc w:val="left"/>
      <w:pPr>
        <w:ind w:left="786" w:hanging="360"/>
      </w:pPr>
      <w:rPr>
        <w:rFonts w:ascii="Calibri" w:eastAsia="Calibri" w:hAnsi="Calibri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712B3BE0"/>
    <w:multiLevelType w:val="hybridMultilevel"/>
    <w:tmpl w:val="64FEF84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A5833"/>
    <w:multiLevelType w:val="hybridMultilevel"/>
    <w:tmpl w:val="A7B8D83C"/>
    <w:lvl w:ilvl="0" w:tplc="6D62D9E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F2"/>
    <w:rsid w:val="0006712D"/>
    <w:rsid w:val="001F4173"/>
    <w:rsid w:val="0021006D"/>
    <w:rsid w:val="002178AD"/>
    <w:rsid w:val="003B5CE3"/>
    <w:rsid w:val="00643B77"/>
    <w:rsid w:val="006569AD"/>
    <w:rsid w:val="006A135D"/>
    <w:rsid w:val="008D1388"/>
    <w:rsid w:val="0095774D"/>
    <w:rsid w:val="00A0389B"/>
    <w:rsid w:val="00C00232"/>
    <w:rsid w:val="00E30471"/>
    <w:rsid w:val="00FB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6845E-8654-411A-B72B-F6C67C4B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3DF2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3DF2"/>
    <w:pPr>
      <w:keepNext/>
      <w:spacing w:after="0" w:line="240" w:lineRule="auto"/>
      <w:outlineLvl w:val="1"/>
    </w:pPr>
    <w:rPr>
      <w:rFonts w:ascii="Cambria" w:eastAsia="Times New Roman" w:hAnsi="Cambria" w:cs="Times New Roman"/>
      <w:bCs/>
      <w:iCs/>
      <w:sz w:val="24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DF2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DF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B3DF2"/>
    <w:rPr>
      <w:rFonts w:ascii="Cambria" w:eastAsia="Times New Roman" w:hAnsi="Cambria" w:cs="Times New Roman"/>
      <w:bCs/>
      <w:iCs/>
      <w:sz w:val="24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B3DF2"/>
    <w:rPr>
      <w:rFonts w:ascii="Cambria" w:eastAsia="Times New Roman" w:hAnsi="Cambria" w:cs="Times New Roman"/>
      <w:b/>
      <w:bCs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FB3DF2"/>
  </w:style>
  <w:style w:type="paragraph" w:styleId="Title">
    <w:name w:val="Title"/>
    <w:basedOn w:val="Normal"/>
    <w:next w:val="Normal"/>
    <w:link w:val="TitleChar"/>
    <w:uiPriority w:val="10"/>
    <w:qFormat/>
    <w:rsid w:val="00FB3DF2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B3DF2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3DF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B3DF2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B3DF2"/>
    <w:pPr>
      <w:spacing w:after="200" w:line="276" w:lineRule="auto"/>
      <w:ind w:left="220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B3DF2"/>
    <w:pPr>
      <w:spacing w:after="200" w:line="276" w:lineRule="auto"/>
      <w:ind w:left="440"/>
    </w:pPr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FB3DF2"/>
    <w:rPr>
      <w:color w:val="0000FF"/>
      <w:u w:val="single"/>
    </w:rPr>
  </w:style>
  <w:style w:type="paragraph" w:customStyle="1" w:styleId="Default">
    <w:name w:val="Default"/>
    <w:rsid w:val="00FB3D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paragraph" w:styleId="Header">
    <w:name w:val="header"/>
    <w:basedOn w:val="Normal"/>
    <w:link w:val="HeaderChar"/>
    <w:uiPriority w:val="99"/>
    <w:unhideWhenUsed/>
    <w:rsid w:val="00FB3DF2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B3DF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B3DF2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B3DF2"/>
    <w:rPr>
      <w:rFonts w:ascii="Calibri" w:eastAsia="Calibri" w:hAnsi="Calibri" w:cs="Times New Roman"/>
      <w:lang w:val="en-US"/>
    </w:rPr>
  </w:style>
  <w:style w:type="paragraph" w:styleId="NoSpacing">
    <w:name w:val="No Spacing"/>
    <w:link w:val="NoSpacingChar"/>
    <w:uiPriority w:val="1"/>
    <w:qFormat/>
    <w:rsid w:val="00FB3DF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FB3DF2"/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3DF2"/>
    <w:pPr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3DF2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semiHidden/>
    <w:unhideWhenUsed/>
    <w:rsid w:val="00FB3DF2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B3DF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DF2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DF2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4.emf"/><Relationship Id="rId26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2.emf"/><Relationship Id="rId17" Type="http://schemas.openxmlformats.org/officeDocument/2006/relationships/chart" Target="charts/chart8.xml"/><Relationship Id="rId25" Type="http://schemas.openxmlformats.org/officeDocument/2006/relationships/chart" Target="charts/chart13.xm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image" Target="media/image6.emf"/><Relationship Id="rId32" Type="http://schemas.openxmlformats.org/officeDocument/2006/relationships/chart" Target="charts/chart16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chart" Target="charts/chart12.xml"/><Relationship Id="rId28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9.xml"/><Relationship Id="rId31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header" Target="header1.xml"/><Relationship Id="rId30" Type="http://schemas.openxmlformats.org/officeDocument/2006/relationships/image" Target="media/image7.emf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423840769903762"/>
          <c:y val="6.5673301254009928E-2"/>
          <c:w val="0.85520603674540685"/>
          <c:h val="0.690692986293380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УИС!$D$3</c:f>
              <c:strCache>
                <c:ptCount val="1"/>
                <c:pt idx="0">
                  <c:v>Максималан број учесника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УИС!$B$4:$B$18</c:f>
              <c:strCache>
                <c:ptCount val="15"/>
                <c:pt idx="0">
                  <c:v>2009/10</c:v>
                </c:pt>
                <c:pt idx="1">
                  <c:v>2010/11 з</c:v>
                </c:pt>
                <c:pt idx="2">
                  <c:v>2010/11 љ</c:v>
                </c:pt>
                <c:pt idx="3">
                  <c:v>2011/12 з</c:v>
                </c:pt>
                <c:pt idx="4">
                  <c:v>2011/12 љ</c:v>
                </c:pt>
                <c:pt idx="5">
                  <c:v>2012/13 з</c:v>
                </c:pt>
                <c:pt idx="6">
                  <c:v>2012/13 љ</c:v>
                </c:pt>
                <c:pt idx="7">
                  <c:v>2013/14 з</c:v>
                </c:pt>
                <c:pt idx="8">
                  <c:v>2013/14 љ</c:v>
                </c:pt>
                <c:pt idx="9">
                  <c:v>2014/15 з</c:v>
                </c:pt>
                <c:pt idx="10">
                  <c:v>2014/15 љ</c:v>
                </c:pt>
                <c:pt idx="11">
                  <c:v>2015/16 з</c:v>
                </c:pt>
                <c:pt idx="12">
                  <c:v>2015/16 љ </c:v>
                </c:pt>
                <c:pt idx="13">
                  <c:v>2016/17 з</c:v>
                </c:pt>
                <c:pt idx="14">
                  <c:v>2016/17 љ</c:v>
                </c:pt>
              </c:strCache>
            </c:strRef>
          </c:cat>
          <c:val>
            <c:numRef>
              <c:f>УИС!$D$4:$D$18</c:f>
              <c:numCache>
                <c:formatCode>General</c:formatCode>
                <c:ptCount val="15"/>
                <c:pt idx="0">
                  <c:v>7133</c:v>
                </c:pt>
                <c:pt idx="1">
                  <c:v>8262</c:v>
                </c:pt>
                <c:pt idx="2">
                  <c:v>8811</c:v>
                </c:pt>
                <c:pt idx="3">
                  <c:v>8424</c:v>
                </c:pt>
                <c:pt idx="4">
                  <c:v>7760</c:v>
                </c:pt>
                <c:pt idx="5">
                  <c:v>7687</c:v>
                </c:pt>
                <c:pt idx="6">
                  <c:v>7732</c:v>
                </c:pt>
                <c:pt idx="7">
                  <c:v>7484</c:v>
                </c:pt>
                <c:pt idx="8">
                  <c:v>6417</c:v>
                </c:pt>
                <c:pt idx="9">
                  <c:v>6415</c:v>
                </c:pt>
                <c:pt idx="10">
                  <c:v>6266</c:v>
                </c:pt>
                <c:pt idx="11">
                  <c:v>6371</c:v>
                </c:pt>
                <c:pt idx="12">
                  <c:v>6326</c:v>
                </c:pt>
                <c:pt idx="13">
                  <c:v>5640</c:v>
                </c:pt>
                <c:pt idx="14">
                  <c:v>5520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7D-49AC-81F6-F7B72FF450DD}"/>
            </c:ext>
          </c:extLst>
        </c:ser>
        <c:ser>
          <c:idx val="1"/>
          <c:order val="1"/>
          <c:tx>
            <c:strRef>
              <c:f>УИС!$E$3</c:f>
              <c:strCache>
                <c:ptCount val="1"/>
                <c:pt idx="0">
                  <c:v>Број учесника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УИС!$B$4:$B$18</c:f>
              <c:strCache>
                <c:ptCount val="15"/>
                <c:pt idx="0">
                  <c:v>2009/10</c:v>
                </c:pt>
                <c:pt idx="1">
                  <c:v>2010/11 з</c:v>
                </c:pt>
                <c:pt idx="2">
                  <c:v>2010/11 љ</c:v>
                </c:pt>
                <c:pt idx="3">
                  <c:v>2011/12 з</c:v>
                </c:pt>
                <c:pt idx="4">
                  <c:v>2011/12 љ</c:v>
                </c:pt>
                <c:pt idx="5">
                  <c:v>2012/13 з</c:v>
                </c:pt>
                <c:pt idx="6">
                  <c:v>2012/13 љ</c:v>
                </c:pt>
                <c:pt idx="7">
                  <c:v>2013/14 з</c:v>
                </c:pt>
                <c:pt idx="8">
                  <c:v>2013/14 љ</c:v>
                </c:pt>
                <c:pt idx="9">
                  <c:v>2014/15 з</c:v>
                </c:pt>
                <c:pt idx="10">
                  <c:v>2014/15 љ</c:v>
                </c:pt>
                <c:pt idx="11">
                  <c:v>2015/16 з</c:v>
                </c:pt>
                <c:pt idx="12">
                  <c:v>2015/16 љ </c:v>
                </c:pt>
                <c:pt idx="13">
                  <c:v>2016/17 з</c:v>
                </c:pt>
                <c:pt idx="14">
                  <c:v>2016/17 љ</c:v>
                </c:pt>
              </c:strCache>
            </c:strRef>
          </c:cat>
          <c:val>
            <c:numRef>
              <c:f>УИС!$E$4:$E$18</c:f>
              <c:numCache>
                <c:formatCode>General</c:formatCode>
                <c:ptCount val="15"/>
                <c:pt idx="0">
                  <c:v>2291</c:v>
                </c:pt>
                <c:pt idx="1">
                  <c:v>2087</c:v>
                </c:pt>
                <c:pt idx="2">
                  <c:v>2237</c:v>
                </c:pt>
                <c:pt idx="3">
                  <c:v>2835</c:v>
                </c:pt>
                <c:pt idx="4">
                  <c:v>2800</c:v>
                </c:pt>
                <c:pt idx="5">
                  <c:v>3585</c:v>
                </c:pt>
                <c:pt idx="6">
                  <c:v>3125</c:v>
                </c:pt>
                <c:pt idx="7">
                  <c:v>3417</c:v>
                </c:pt>
                <c:pt idx="8">
                  <c:v>2590</c:v>
                </c:pt>
                <c:pt idx="9">
                  <c:v>3116</c:v>
                </c:pt>
                <c:pt idx="10">
                  <c:v>2541</c:v>
                </c:pt>
                <c:pt idx="11">
                  <c:v>3090</c:v>
                </c:pt>
                <c:pt idx="12">
                  <c:v>2922</c:v>
                </c:pt>
                <c:pt idx="13">
                  <c:v>2830</c:v>
                </c:pt>
                <c:pt idx="14">
                  <c:v>2527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7D-49AC-81F6-F7B72FF45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7593472"/>
        <c:axId val="357595008"/>
      </c:barChart>
      <c:catAx>
        <c:axId val="35759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7595008"/>
        <c:crosses val="autoZero"/>
        <c:auto val="1"/>
        <c:lblAlgn val="ctr"/>
        <c:lblOffset val="100"/>
        <c:noMultiLvlLbl val="0"/>
      </c:catAx>
      <c:valAx>
        <c:axId val="357595008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57593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3747996027523588"/>
          <c:y val="4.6294404039189758E-3"/>
          <c:w val="0.52504007944952824"/>
          <c:h val="7.2533910360441586E-2"/>
        </c:manualLayout>
      </c:layout>
      <c:overlay val="0"/>
      <c:txPr>
        <a:bodyPr/>
        <a:lstStyle/>
        <a:p>
          <a:pPr>
            <a:defRPr sz="800"/>
          </a:pPr>
          <a:endParaRPr lang="sr-Latn-R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331870144634628"/>
          <c:y val="5.2867585171578989E-2"/>
          <c:w val="0.45270953072696268"/>
          <c:h val="0.8992596716850112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38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љетни'!$E$20:$E$36</c:f>
              <c:numCache>
                <c:formatCode>General</c:formatCode>
                <c:ptCount val="17"/>
                <c:pt idx="0">
                  <c:v>4.54</c:v>
                </c:pt>
                <c:pt idx="1">
                  <c:v>4.7699999999999996</c:v>
                </c:pt>
                <c:pt idx="2">
                  <c:v>4.72</c:v>
                </c:pt>
                <c:pt idx="3">
                  <c:v>4.6100000000000003</c:v>
                </c:pt>
                <c:pt idx="4">
                  <c:v>4.5</c:v>
                </c:pt>
                <c:pt idx="5">
                  <c:v>4.6500000000000004</c:v>
                </c:pt>
                <c:pt idx="6">
                  <c:v>4.1900000000000004</c:v>
                </c:pt>
                <c:pt idx="7">
                  <c:v>4.9400000000000004</c:v>
                </c:pt>
                <c:pt idx="8">
                  <c:v>4.1900000000000004</c:v>
                </c:pt>
                <c:pt idx="9">
                  <c:v>4.42</c:v>
                </c:pt>
                <c:pt idx="10">
                  <c:v>3.26</c:v>
                </c:pt>
                <c:pt idx="11">
                  <c:v>0</c:v>
                </c:pt>
                <c:pt idx="12">
                  <c:v>4.1900000000000004</c:v>
                </c:pt>
                <c:pt idx="13">
                  <c:v>4.54</c:v>
                </c:pt>
                <c:pt idx="14">
                  <c:v>4.49</c:v>
                </c:pt>
                <c:pt idx="15">
                  <c:v>4.5999999999999996</c:v>
                </c:pt>
                <c:pt idx="16">
                  <c:v>3.53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65-455E-824F-3AF62478FA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8515712"/>
        <c:axId val="368521600"/>
      </c:barChart>
      <c:catAx>
        <c:axId val="368515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68521600"/>
        <c:crosses val="autoZero"/>
        <c:auto val="1"/>
        <c:lblAlgn val="ctr"/>
        <c:lblOffset val="100"/>
        <c:noMultiLvlLbl val="0"/>
      </c:catAx>
      <c:valAx>
        <c:axId val="368521600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99"/>
            </a:pPr>
            <a:endParaRPr lang="sr-Latn-RS"/>
          </a:p>
        </c:txPr>
        <c:crossAx val="368515712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38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љетни'!$B$92:$B$105</c:f>
              <c:strCache>
                <c:ptCount val="14"/>
                <c:pt idx="0">
                  <c:v>2010/11 з</c:v>
                </c:pt>
                <c:pt idx="1">
                  <c:v>2010/11 љ</c:v>
                </c:pt>
                <c:pt idx="2">
                  <c:v>2011/12 з</c:v>
                </c:pt>
                <c:pt idx="3">
                  <c:v>2011/12 љ</c:v>
                </c:pt>
                <c:pt idx="4">
                  <c:v>2012/13 з</c:v>
                </c:pt>
                <c:pt idx="5">
                  <c:v>2012/13 љ</c:v>
                </c:pt>
                <c:pt idx="6">
                  <c:v>2013/14 з</c:v>
                </c:pt>
                <c:pt idx="7">
                  <c:v>2013/14 љ</c:v>
                </c:pt>
                <c:pt idx="8">
                  <c:v>2014/15 з</c:v>
                </c:pt>
                <c:pt idx="9">
                  <c:v>2014/15 љ</c:v>
                </c:pt>
                <c:pt idx="10">
                  <c:v>2015/16 з</c:v>
                </c:pt>
                <c:pt idx="11">
                  <c:v>2015/16 љ</c:v>
                </c:pt>
                <c:pt idx="12">
                  <c:v>2016/17 з</c:v>
                </c:pt>
                <c:pt idx="13">
                  <c:v>2016/17 љ</c:v>
                </c:pt>
              </c:strCache>
            </c:strRef>
          </c:cat>
          <c:val>
            <c:numRef>
              <c:f>'Студији и службе (2016-17 љетни'!$G$92:$G$105</c:f>
              <c:numCache>
                <c:formatCode>General</c:formatCode>
                <c:ptCount val="14"/>
                <c:pt idx="0">
                  <c:v>3.97</c:v>
                </c:pt>
                <c:pt idx="1">
                  <c:v>3.88</c:v>
                </c:pt>
                <c:pt idx="2">
                  <c:v>4.1399999999999997</c:v>
                </c:pt>
                <c:pt idx="3">
                  <c:v>4.16</c:v>
                </c:pt>
                <c:pt idx="4">
                  <c:v>4.1900000000000004</c:v>
                </c:pt>
                <c:pt idx="5">
                  <c:v>4.0599999999999996</c:v>
                </c:pt>
                <c:pt idx="6">
                  <c:v>4.08</c:v>
                </c:pt>
                <c:pt idx="7">
                  <c:v>4.21</c:v>
                </c:pt>
                <c:pt idx="8">
                  <c:v>4.22</c:v>
                </c:pt>
                <c:pt idx="9">
                  <c:v>4.16</c:v>
                </c:pt>
                <c:pt idx="10">
                  <c:v>4.3</c:v>
                </c:pt>
                <c:pt idx="11">
                  <c:v>4.26</c:v>
                </c:pt>
                <c:pt idx="12">
                  <c:v>4.34</c:v>
                </c:pt>
                <c:pt idx="13">
                  <c:v>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6E-4F11-B358-C44BEC92C1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709440"/>
        <c:axId val="369710976"/>
      </c:barChart>
      <c:catAx>
        <c:axId val="369709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3120000"/>
          <a:lstStyle/>
          <a:p>
            <a:pPr>
              <a:defRPr sz="800"/>
            </a:pPr>
            <a:endParaRPr lang="sr-Latn-RS"/>
          </a:p>
        </c:txPr>
        <c:crossAx val="369710976"/>
        <c:crosses val="autoZero"/>
        <c:auto val="1"/>
        <c:lblAlgn val="ctr"/>
        <c:lblOffset val="100"/>
        <c:noMultiLvlLbl val="0"/>
      </c:catAx>
      <c:valAx>
        <c:axId val="369710976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69709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1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љетни'!$F$20:$F$36</c:f>
              <c:numCache>
                <c:formatCode>General</c:formatCode>
                <c:ptCount val="17"/>
                <c:pt idx="0">
                  <c:v>4.3899999999999997</c:v>
                </c:pt>
                <c:pt idx="1">
                  <c:v>4.6500000000000004</c:v>
                </c:pt>
                <c:pt idx="2">
                  <c:v>4.3899999999999997</c:v>
                </c:pt>
                <c:pt idx="3">
                  <c:v>4.6399999999999997</c:v>
                </c:pt>
                <c:pt idx="4">
                  <c:v>4.91</c:v>
                </c:pt>
                <c:pt idx="5">
                  <c:v>4.51</c:v>
                </c:pt>
                <c:pt idx="6">
                  <c:v>4.3899999999999997</c:v>
                </c:pt>
                <c:pt idx="7">
                  <c:v>4.91</c:v>
                </c:pt>
                <c:pt idx="8">
                  <c:v>4.5</c:v>
                </c:pt>
                <c:pt idx="9">
                  <c:v>4.8</c:v>
                </c:pt>
                <c:pt idx="10">
                  <c:v>3.89</c:v>
                </c:pt>
                <c:pt idx="11">
                  <c:v>0</c:v>
                </c:pt>
                <c:pt idx="12">
                  <c:v>3.94</c:v>
                </c:pt>
                <c:pt idx="13">
                  <c:v>4.08</c:v>
                </c:pt>
                <c:pt idx="14">
                  <c:v>4.8499999999999996</c:v>
                </c:pt>
                <c:pt idx="15">
                  <c:v>4.1900000000000004</c:v>
                </c:pt>
                <c:pt idx="16">
                  <c:v>4.0199999999999996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44-4A47-B4AD-6D8A8D314E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866624"/>
        <c:axId val="369868160"/>
      </c:barChart>
      <c:catAx>
        <c:axId val="3698666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69868160"/>
        <c:crosses val="autoZero"/>
        <c:auto val="1"/>
        <c:lblAlgn val="ctr"/>
        <c:lblOffset val="100"/>
        <c:noMultiLvlLbl val="0"/>
      </c:catAx>
      <c:valAx>
        <c:axId val="369868160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sr-Latn-RS"/>
          </a:p>
        </c:txPr>
        <c:crossAx val="369866624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36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љетни'!$B$108:$B$121</c:f>
              <c:strCache>
                <c:ptCount val="14"/>
                <c:pt idx="0">
                  <c:v>2010/11 з</c:v>
                </c:pt>
                <c:pt idx="1">
                  <c:v>2010/11 љ</c:v>
                </c:pt>
                <c:pt idx="2">
                  <c:v>2011/12 з</c:v>
                </c:pt>
                <c:pt idx="3">
                  <c:v>2011/12 љ</c:v>
                </c:pt>
                <c:pt idx="4">
                  <c:v>2012/13 з</c:v>
                </c:pt>
                <c:pt idx="5">
                  <c:v>2012/13 љ</c:v>
                </c:pt>
                <c:pt idx="6">
                  <c:v>2013/14 з</c:v>
                </c:pt>
                <c:pt idx="7">
                  <c:v>2013/14 љ</c:v>
                </c:pt>
                <c:pt idx="8">
                  <c:v>2014/15 з</c:v>
                </c:pt>
                <c:pt idx="9">
                  <c:v>2014/15 љ</c:v>
                </c:pt>
                <c:pt idx="10">
                  <c:v>2015/16 з</c:v>
                </c:pt>
                <c:pt idx="11">
                  <c:v>2015/16 љ</c:v>
                </c:pt>
                <c:pt idx="12">
                  <c:v>2016/17 з</c:v>
                </c:pt>
                <c:pt idx="13">
                  <c:v>2016/17 љ</c:v>
                </c:pt>
              </c:strCache>
            </c:strRef>
          </c:cat>
          <c:val>
            <c:numRef>
              <c:f>'Студији и службе (2016-17 љетни'!$G$108:$G$121</c:f>
              <c:numCache>
                <c:formatCode>General</c:formatCode>
                <c:ptCount val="14"/>
                <c:pt idx="0">
                  <c:v>4.04</c:v>
                </c:pt>
                <c:pt idx="1">
                  <c:v>4.08</c:v>
                </c:pt>
                <c:pt idx="2">
                  <c:v>4.12</c:v>
                </c:pt>
                <c:pt idx="3">
                  <c:v>4.1399999999999997</c:v>
                </c:pt>
                <c:pt idx="4">
                  <c:v>4.18</c:v>
                </c:pt>
                <c:pt idx="5">
                  <c:v>4.0999999999999996</c:v>
                </c:pt>
                <c:pt idx="6">
                  <c:v>4.1900000000000004</c:v>
                </c:pt>
                <c:pt idx="7">
                  <c:v>4.1900000000000004</c:v>
                </c:pt>
                <c:pt idx="8">
                  <c:v>4.21</c:v>
                </c:pt>
                <c:pt idx="9">
                  <c:v>4.2300000000000004</c:v>
                </c:pt>
                <c:pt idx="10">
                  <c:v>4.26</c:v>
                </c:pt>
                <c:pt idx="11">
                  <c:v>4.16</c:v>
                </c:pt>
                <c:pt idx="12">
                  <c:v>4.25</c:v>
                </c:pt>
                <c:pt idx="13">
                  <c:v>4.33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4D-4A82-9739-AB818CE12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236800"/>
        <c:axId val="370263168"/>
      </c:barChart>
      <c:catAx>
        <c:axId val="370236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3120000"/>
          <a:lstStyle/>
          <a:p>
            <a:pPr>
              <a:defRPr sz="699"/>
            </a:pPr>
            <a:endParaRPr lang="sr-Latn-RS"/>
          </a:p>
        </c:txPr>
        <c:crossAx val="370263168"/>
        <c:crosses val="autoZero"/>
        <c:auto val="1"/>
        <c:lblAlgn val="ctr"/>
        <c:lblOffset val="100"/>
        <c:noMultiLvlLbl val="0"/>
      </c:catAx>
      <c:valAx>
        <c:axId val="370263168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70236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38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љетни'!$G$20:$G$36</c:f>
              <c:numCache>
                <c:formatCode>General</c:formatCode>
                <c:ptCount val="17"/>
                <c:pt idx="0">
                  <c:v>4.09</c:v>
                </c:pt>
                <c:pt idx="1">
                  <c:v>4.54</c:v>
                </c:pt>
                <c:pt idx="2">
                  <c:v>4.6100000000000003</c:v>
                </c:pt>
                <c:pt idx="3">
                  <c:v>4.66</c:v>
                </c:pt>
                <c:pt idx="4">
                  <c:v>4.76</c:v>
                </c:pt>
                <c:pt idx="5">
                  <c:v>4.75</c:v>
                </c:pt>
                <c:pt idx="6">
                  <c:v>4.34</c:v>
                </c:pt>
                <c:pt idx="7">
                  <c:v>4.9800000000000004</c:v>
                </c:pt>
                <c:pt idx="8">
                  <c:v>4.3499999999999996</c:v>
                </c:pt>
                <c:pt idx="9">
                  <c:v>4.47</c:v>
                </c:pt>
                <c:pt idx="10">
                  <c:v>3.25</c:v>
                </c:pt>
                <c:pt idx="11">
                  <c:v>0</c:v>
                </c:pt>
                <c:pt idx="12">
                  <c:v>4.08</c:v>
                </c:pt>
                <c:pt idx="13">
                  <c:v>4.28</c:v>
                </c:pt>
                <c:pt idx="14">
                  <c:v>4.68</c:v>
                </c:pt>
                <c:pt idx="15">
                  <c:v>4.3099999999999996</c:v>
                </c:pt>
                <c:pt idx="16">
                  <c:v>4.13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31-49FB-AED7-3BE18F589F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488448"/>
        <c:axId val="370489984"/>
      </c:barChart>
      <c:catAx>
        <c:axId val="3704884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70489984"/>
        <c:crosses val="autoZero"/>
        <c:auto val="1"/>
        <c:lblAlgn val="ctr"/>
        <c:lblOffset val="100"/>
        <c:noMultiLvlLbl val="0"/>
      </c:catAx>
      <c:valAx>
        <c:axId val="370489984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sr-Latn-RS"/>
          </a:p>
        </c:txPr>
        <c:crossAx val="370488448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37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'Наставни кадар (2016-17 љетни'!$B$4:$B$18</c:f>
              <c:strCache>
                <c:ptCount val="15"/>
                <c:pt idx="0">
                  <c:v>2009/10</c:v>
                </c:pt>
                <c:pt idx="1">
                  <c:v>2010/11 з</c:v>
                </c:pt>
                <c:pt idx="2">
                  <c:v>2010/11 љ</c:v>
                </c:pt>
                <c:pt idx="3">
                  <c:v>2011/12 з</c:v>
                </c:pt>
                <c:pt idx="4">
                  <c:v>2011/12 љ</c:v>
                </c:pt>
                <c:pt idx="5">
                  <c:v>2012/13 з</c:v>
                </c:pt>
                <c:pt idx="6">
                  <c:v>2012/13 љ</c:v>
                </c:pt>
                <c:pt idx="7">
                  <c:v>2013/14 з</c:v>
                </c:pt>
                <c:pt idx="8">
                  <c:v>2013/14 љ</c:v>
                </c:pt>
                <c:pt idx="9">
                  <c:v>2014/15 з</c:v>
                </c:pt>
                <c:pt idx="10">
                  <c:v>2014/15 љ</c:v>
                </c:pt>
                <c:pt idx="11">
                  <c:v>2015/16 з</c:v>
                </c:pt>
                <c:pt idx="12">
                  <c:v>2015/16 љ</c:v>
                </c:pt>
                <c:pt idx="13">
                  <c:v>2016/17 з</c:v>
                </c:pt>
                <c:pt idx="14">
                  <c:v>2016/17 љ </c:v>
                </c:pt>
              </c:strCache>
            </c:strRef>
          </c:cat>
          <c:val>
            <c:numRef>
              <c:f>'Наставни кадар (2016-17 љетни'!$G$4:$G$18</c:f>
              <c:numCache>
                <c:formatCode>General</c:formatCode>
                <c:ptCount val="15"/>
                <c:pt idx="0">
                  <c:v>8.61</c:v>
                </c:pt>
                <c:pt idx="1">
                  <c:v>4.3899999999999997</c:v>
                </c:pt>
                <c:pt idx="2">
                  <c:v>4.4400000000000004</c:v>
                </c:pt>
                <c:pt idx="3">
                  <c:v>4.47</c:v>
                </c:pt>
                <c:pt idx="4">
                  <c:v>4.4400000000000004</c:v>
                </c:pt>
                <c:pt idx="5">
                  <c:v>4.5</c:v>
                </c:pt>
                <c:pt idx="6">
                  <c:v>4.51</c:v>
                </c:pt>
                <c:pt idx="7">
                  <c:v>4.5599999999999996</c:v>
                </c:pt>
                <c:pt idx="8">
                  <c:v>4.5599999999999996</c:v>
                </c:pt>
                <c:pt idx="9">
                  <c:v>4.5199999999999996</c:v>
                </c:pt>
                <c:pt idx="10">
                  <c:v>4.72</c:v>
                </c:pt>
                <c:pt idx="11">
                  <c:v>4.55</c:v>
                </c:pt>
                <c:pt idx="12">
                  <c:v>4.5599999999999996</c:v>
                </c:pt>
                <c:pt idx="13">
                  <c:v>4.5999999999999996</c:v>
                </c:pt>
                <c:pt idx="14">
                  <c:v>4.5599999999999996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2-4865-8C9A-095EF3F43F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514560"/>
        <c:axId val="371040640"/>
      </c:barChart>
      <c:catAx>
        <c:axId val="370514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99"/>
            </a:pPr>
            <a:endParaRPr lang="sr-Latn-RS"/>
          </a:p>
        </c:txPr>
        <c:crossAx val="371040640"/>
        <c:crosses val="autoZero"/>
        <c:auto val="1"/>
        <c:lblAlgn val="ctr"/>
        <c:lblOffset val="100"/>
        <c:noMultiLvlLbl val="0"/>
      </c:catAx>
      <c:valAx>
        <c:axId val="371040640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705145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38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љетни'!$H$20:$H$36</c:f>
              <c:numCache>
                <c:formatCode>General</c:formatCode>
                <c:ptCount val="17"/>
                <c:pt idx="0">
                  <c:v>4.57</c:v>
                </c:pt>
                <c:pt idx="1">
                  <c:v>4.66</c:v>
                </c:pt>
                <c:pt idx="2">
                  <c:v>4.57</c:v>
                </c:pt>
                <c:pt idx="3">
                  <c:v>4.55</c:v>
                </c:pt>
                <c:pt idx="4">
                  <c:v>4.66</c:v>
                </c:pt>
                <c:pt idx="5">
                  <c:v>4.68</c:v>
                </c:pt>
                <c:pt idx="6">
                  <c:v>4.43</c:v>
                </c:pt>
                <c:pt idx="7">
                  <c:v>4.87</c:v>
                </c:pt>
                <c:pt idx="8">
                  <c:v>4.7</c:v>
                </c:pt>
                <c:pt idx="9">
                  <c:v>4.58</c:v>
                </c:pt>
                <c:pt idx="10">
                  <c:v>4.76</c:v>
                </c:pt>
                <c:pt idx="11">
                  <c:v>0</c:v>
                </c:pt>
                <c:pt idx="12">
                  <c:v>4.26</c:v>
                </c:pt>
                <c:pt idx="13">
                  <c:v>4.5999999999999996</c:v>
                </c:pt>
                <c:pt idx="14">
                  <c:v>4.68</c:v>
                </c:pt>
                <c:pt idx="15">
                  <c:v>4.3099999999999996</c:v>
                </c:pt>
                <c:pt idx="16">
                  <c:v>4.71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C-4DF9-868F-ACE59525AC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1184000"/>
        <c:axId val="371185536"/>
      </c:barChart>
      <c:catAx>
        <c:axId val="3711840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71185536"/>
        <c:crosses val="autoZero"/>
        <c:auto val="1"/>
        <c:lblAlgn val="ctr"/>
        <c:lblOffset val="100"/>
        <c:noMultiLvlLbl val="0"/>
      </c:catAx>
      <c:valAx>
        <c:axId val="371185536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sr-Latn-RS"/>
          </a:p>
        </c:txPr>
        <c:crossAx val="371184000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УИС!$F$3</c:f>
              <c:strCache>
                <c:ptCount val="1"/>
                <c:pt idx="0">
                  <c:v>Одзив [%]</c:v>
                </c:pt>
              </c:strCache>
            </c:strRef>
          </c:tx>
          <c:invertIfNegative val="0"/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800" baseline="0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УИС!$B$4:$B$18</c:f>
              <c:strCache>
                <c:ptCount val="15"/>
                <c:pt idx="0">
                  <c:v>2009/10</c:v>
                </c:pt>
                <c:pt idx="1">
                  <c:v>2010/11 з</c:v>
                </c:pt>
                <c:pt idx="2">
                  <c:v>2010/11 љ</c:v>
                </c:pt>
                <c:pt idx="3">
                  <c:v>2011/12 з</c:v>
                </c:pt>
                <c:pt idx="4">
                  <c:v>2011/12 љ</c:v>
                </c:pt>
                <c:pt idx="5">
                  <c:v>2012/13 з</c:v>
                </c:pt>
                <c:pt idx="6">
                  <c:v>2012/13 љ</c:v>
                </c:pt>
                <c:pt idx="7">
                  <c:v>2013/14 з</c:v>
                </c:pt>
                <c:pt idx="8">
                  <c:v>2013/14 љ</c:v>
                </c:pt>
                <c:pt idx="9">
                  <c:v>2014/15 з</c:v>
                </c:pt>
                <c:pt idx="10">
                  <c:v>2014/15 љ</c:v>
                </c:pt>
                <c:pt idx="11">
                  <c:v>2015/16 з</c:v>
                </c:pt>
                <c:pt idx="12">
                  <c:v>2015/16 љ </c:v>
                </c:pt>
                <c:pt idx="13">
                  <c:v>2016/17 з</c:v>
                </c:pt>
                <c:pt idx="14">
                  <c:v>2016/17 љ</c:v>
                </c:pt>
              </c:strCache>
            </c:strRef>
          </c:cat>
          <c:val>
            <c:numRef>
              <c:f>УИС!$F$4:$F$18</c:f>
              <c:numCache>
                <c:formatCode>0.00%</c:formatCode>
                <c:ptCount val="15"/>
                <c:pt idx="0">
                  <c:v>0.32118323286134864</c:v>
                </c:pt>
                <c:pt idx="1">
                  <c:v>0.2526022754780925</c:v>
                </c:pt>
                <c:pt idx="2">
                  <c:v>0.25388718647145614</c:v>
                </c:pt>
                <c:pt idx="3">
                  <c:v>0.33653846153846156</c:v>
                </c:pt>
                <c:pt idx="4">
                  <c:v>0.36082474226804123</c:v>
                </c:pt>
                <c:pt idx="5">
                  <c:v>0.46637179653961236</c:v>
                </c:pt>
                <c:pt idx="6">
                  <c:v>0.40416451112260737</c:v>
                </c:pt>
                <c:pt idx="7">
                  <c:v>0.456574024585783</c:v>
                </c:pt>
                <c:pt idx="8">
                  <c:v>0.4036153966027739</c:v>
                </c:pt>
                <c:pt idx="9">
                  <c:v>0.48573655494933748</c:v>
                </c:pt>
                <c:pt idx="10">
                  <c:v>0.4055218640280881</c:v>
                </c:pt>
                <c:pt idx="11">
                  <c:v>0.48501020247998744</c:v>
                </c:pt>
                <c:pt idx="12">
                  <c:v>0.46189999999999998</c:v>
                </c:pt>
                <c:pt idx="13">
                  <c:v>0.50180000000000002</c:v>
                </c:pt>
                <c:pt idx="14">
                  <c:v>0.45779999999999998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1D-4B3E-BB92-730B369A9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7918976"/>
        <c:axId val="357945344"/>
      </c:barChart>
      <c:catAx>
        <c:axId val="357918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7945344"/>
        <c:crosses val="autoZero"/>
        <c:auto val="1"/>
        <c:lblAlgn val="ctr"/>
        <c:lblOffset val="100"/>
        <c:noMultiLvlLbl val="0"/>
      </c:catAx>
      <c:valAx>
        <c:axId val="357945344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0.00%" sourceLinked="1"/>
        <c:majorTickMark val="out"/>
        <c:minorTickMark val="none"/>
        <c:tickLblPos val="nextTo"/>
        <c:crossAx val="357918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79022100741012E-3"/>
                  <c:y val="-6.89287169089312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CB-4F77-A049-A9B7FB812A53}"/>
                </c:ext>
              </c:extLst>
            </c:dLbl>
            <c:dLbl>
              <c:idx val="1"/>
              <c:layout>
                <c:manualLayout>
                  <c:x val="0"/>
                  <c:y val="-6.167306249746480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CB-4F77-A049-A9B7FB812A53}"/>
                </c:ext>
              </c:extLst>
            </c:dLbl>
            <c:dLbl>
              <c:idx val="2"/>
              <c:layout>
                <c:manualLayout>
                  <c:x val="-4.0111077151439119E-17"/>
                  <c:y val="-9.4323507349063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CB-4F77-A049-A9B7FB812A53}"/>
                </c:ext>
              </c:extLst>
            </c:dLbl>
            <c:dLbl>
              <c:idx val="3"/>
              <c:layout>
                <c:manualLayout>
                  <c:x val="2.1879022100741012E-3"/>
                  <c:y val="-0.1414852610235957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CB-4F77-A049-A9B7FB812A53}"/>
                </c:ext>
              </c:extLst>
            </c:dLbl>
            <c:dLbl>
              <c:idx val="4"/>
              <c:layout>
                <c:manualLayout>
                  <c:x val="0"/>
                  <c:y val="-7.25565441146644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CB-4F77-A049-A9B7FB812A53}"/>
                </c:ext>
              </c:extLst>
            </c:dLbl>
            <c:dLbl>
              <c:idx val="5"/>
              <c:layout>
                <c:manualLayout>
                  <c:x val="0"/>
                  <c:y val="-7.61843713203976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CB-4F77-A049-A9B7FB812A53}"/>
                </c:ext>
              </c:extLst>
            </c:dLbl>
            <c:dLbl>
              <c:idx val="6"/>
              <c:layout>
                <c:manualLayout>
                  <c:x val="0"/>
                  <c:y val="-0.11971829778919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CB-4F77-A049-A9B7FB812A53}"/>
                </c:ext>
              </c:extLst>
            </c:dLbl>
            <c:dLbl>
              <c:idx val="7"/>
              <c:layout>
                <c:manualLayout>
                  <c:x val="-8.0222154302878238E-17"/>
                  <c:y val="-8.344002573186415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CB-4F77-A049-A9B7FB812A53}"/>
                </c:ext>
              </c:extLst>
            </c:dLbl>
            <c:dLbl>
              <c:idx val="8"/>
              <c:layout>
                <c:manualLayout>
                  <c:x val="-2.1879022100741012E-3"/>
                  <c:y val="-0.188647014698127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0CB-4F77-A049-A9B7FB812A53}"/>
                </c:ext>
              </c:extLst>
            </c:dLbl>
            <c:dLbl>
              <c:idx val="9"/>
              <c:layout>
                <c:manualLayout>
                  <c:x val="0"/>
                  <c:y val="-7.25565441146644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0CB-4F77-A049-A9B7FB812A53}"/>
                </c:ext>
              </c:extLst>
            </c:dLbl>
            <c:dLbl>
              <c:idx val="10"/>
              <c:layout>
                <c:manualLayout>
                  <c:x val="-6.563706630222303E-3"/>
                  <c:y val="-0.239436595578392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0CB-4F77-A049-A9B7FB812A53}"/>
                </c:ext>
              </c:extLst>
            </c:dLbl>
            <c:dLbl>
              <c:idx val="12"/>
              <c:layout>
                <c:manualLayout>
                  <c:x val="2.1879022100741012E-3"/>
                  <c:y val="-0.1777635330809280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0CB-4F77-A049-A9B7FB812A53}"/>
                </c:ext>
              </c:extLst>
            </c:dLbl>
            <c:dLbl>
              <c:idx val="13"/>
              <c:layout>
                <c:manualLayout>
                  <c:x val="-1.6044430860575648E-16"/>
                  <c:y val="-0.1523687426407953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0CB-4F77-A049-A9B7FB812A53}"/>
                </c:ext>
              </c:extLst>
            </c:dLbl>
            <c:dLbl>
              <c:idx val="14"/>
              <c:layout>
                <c:manualLayout>
                  <c:x val="-4.3758044201483628E-3"/>
                  <c:y val="-0.1269739522006628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0CB-4F77-A049-A9B7FB812A53}"/>
                </c:ext>
              </c:extLst>
            </c:dLbl>
            <c:dLbl>
              <c:idx val="15"/>
              <c:layout>
                <c:manualLayout>
                  <c:x val="-2.1879022100741012E-3"/>
                  <c:y val="-0.1269739522006628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0CB-4F77-A049-A9B7FB812A53}"/>
                </c:ext>
              </c:extLst>
            </c:dLbl>
            <c:dLbl>
              <c:idx val="16"/>
              <c:layout>
                <c:manualLayout>
                  <c:x val="0"/>
                  <c:y val="-7.98121985261309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0CB-4F77-A049-A9B7FB812A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ОЈ!$U$261:$U$277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ОЈ!$X$261:$X$277</c:f>
              <c:numCache>
                <c:formatCode>General</c:formatCode>
                <c:ptCount val="17"/>
                <c:pt idx="0">
                  <c:v>23</c:v>
                </c:pt>
                <c:pt idx="1">
                  <c:v>56</c:v>
                </c:pt>
                <c:pt idx="2">
                  <c:v>112</c:v>
                </c:pt>
                <c:pt idx="3">
                  <c:v>206</c:v>
                </c:pt>
                <c:pt idx="4">
                  <c:v>48</c:v>
                </c:pt>
                <c:pt idx="5">
                  <c:v>91</c:v>
                </c:pt>
                <c:pt idx="6">
                  <c:v>175</c:v>
                </c:pt>
                <c:pt idx="7">
                  <c:v>45</c:v>
                </c:pt>
                <c:pt idx="8">
                  <c:v>320</c:v>
                </c:pt>
                <c:pt idx="9">
                  <c:v>79</c:v>
                </c:pt>
                <c:pt idx="10">
                  <c:v>384</c:v>
                </c:pt>
                <c:pt idx="11">
                  <c:v>0</c:v>
                </c:pt>
                <c:pt idx="12">
                  <c:v>269</c:v>
                </c:pt>
                <c:pt idx="13">
                  <c:v>218</c:v>
                </c:pt>
                <c:pt idx="14">
                  <c:v>195</c:v>
                </c:pt>
                <c:pt idx="15">
                  <c:v>206</c:v>
                </c:pt>
                <c:pt idx="16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0CB-4F77-A049-A9B7FB812A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8054144"/>
        <c:axId val="358060032"/>
      </c:barChart>
      <c:catAx>
        <c:axId val="3580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8060032"/>
        <c:crosses val="autoZero"/>
        <c:auto val="1"/>
        <c:lblAlgn val="ctr"/>
        <c:lblOffset val="100"/>
        <c:noMultiLvlLbl val="0"/>
      </c:catAx>
      <c:valAx>
        <c:axId val="358060032"/>
        <c:scaling>
          <c:orientation val="minMax"/>
        </c:scaling>
        <c:delete val="0"/>
        <c:axPos val="l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8054144"/>
        <c:crosses val="autoZero"/>
        <c:crossBetween val="between"/>
      </c:valAx>
      <c:spPr>
        <a:noFill/>
        <a:ln w="25387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2686567039932629E-2"/>
                  <c:y val="-1.0259503504657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E2-486C-823C-66A22479CC24}"/>
                </c:ext>
              </c:extLst>
            </c:dLbl>
            <c:dLbl>
              <c:idx val="7"/>
              <c:layout>
                <c:manualLayout>
                  <c:x val="4.2288556799775171E-3"/>
                  <c:y val="-3.41983450155240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E2-486C-823C-66A22479CC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ОЈ!$U$261:$U$277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ОЈ!$Y$261:$Y$277</c:f>
              <c:numCache>
                <c:formatCode>0.00%</c:formatCode>
                <c:ptCount val="17"/>
                <c:pt idx="0">
                  <c:v>0.33329999999999999</c:v>
                </c:pt>
                <c:pt idx="1">
                  <c:v>0.40579999999999999</c:v>
                </c:pt>
                <c:pt idx="2">
                  <c:v>0.58030000000000004</c:v>
                </c:pt>
                <c:pt idx="3">
                  <c:v>0.50739999999999996</c:v>
                </c:pt>
                <c:pt idx="4">
                  <c:v>0.1943</c:v>
                </c:pt>
                <c:pt idx="5">
                  <c:v>0.5</c:v>
                </c:pt>
                <c:pt idx="6">
                  <c:v>0.49159999999999998</c:v>
                </c:pt>
                <c:pt idx="7">
                  <c:v>0.51139999999999997</c:v>
                </c:pt>
                <c:pt idx="8">
                  <c:v>0.31559999999999999</c:v>
                </c:pt>
                <c:pt idx="9">
                  <c:v>0.5302</c:v>
                </c:pt>
                <c:pt idx="10">
                  <c:v>0.4677</c:v>
                </c:pt>
                <c:pt idx="11">
                  <c:v>0</c:v>
                </c:pt>
                <c:pt idx="12">
                  <c:v>0.55349999999999999</c:v>
                </c:pt>
                <c:pt idx="13">
                  <c:v>0.62639999999999996</c:v>
                </c:pt>
                <c:pt idx="14">
                  <c:v>0.57020000000000004</c:v>
                </c:pt>
                <c:pt idx="15">
                  <c:v>0.42559999999999998</c:v>
                </c:pt>
                <c:pt idx="16">
                  <c:v>0.50760000000000005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E2-486C-823C-66A22479C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8834944"/>
        <c:axId val="358836480"/>
      </c:barChart>
      <c:catAx>
        <c:axId val="35883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8836480"/>
        <c:crosses val="autoZero"/>
        <c:auto val="1"/>
        <c:lblAlgn val="ctr"/>
        <c:lblOffset val="100"/>
        <c:noMultiLvlLbl val="0"/>
      </c:catAx>
      <c:valAx>
        <c:axId val="358836480"/>
        <c:scaling>
          <c:orientation val="minMax"/>
        </c:scaling>
        <c:delete val="0"/>
        <c:axPos val="l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58834944"/>
        <c:crosses val="autoZero"/>
        <c:crossBetween val="between"/>
      </c:valAx>
      <c:spPr>
        <a:noFill/>
        <a:ln w="25403">
          <a:noFill/>
        </a:ln>
      </c:spPr>
    </c:plotArea>
    <c:plotVisOnly val="1"/>
    <c:dispBlanksAs val="gap"/>
    <c:showDLblsOverMax val="0"/>
  </c:chart>
  <c:spPr>
    <a:solidFill>
      <a:schemeClr val="bg1"/>
    </a:solidFill>
    <a:ln w="952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љетни'!$B$4:$B$17</c:f>
              <c:strCache>
                <c:ptCount val="14"/>
                <c:pt idx="0">
                  <c:v>2010/11 з</c:v>
                </c:pt>
                <c:pt idx="1">
                  <c:v>2010/11 љ</c:v>
                </c:pt>
                <c:pt idx="2">
                  <c:v>2011/12 з</c:v>
                </c:pt>
                <c:pt idx="3">
                  <c:v>2011/12 љ</c:v>
                </c:pt>
                <c:pt idx="4">
                  <c:v>2012/13 з</c:v>
                </c:pt>
                <c:pt idx="5">
                  <c:v>2012/13 љ</c:v>
                </c:pt>
                <c:pt idx="6">
                  <c:v>2013/14 з</c:v>
                </c:pt>
                <c:pt idx="7">
                  <c:v>2013/14 љ</c:v>
                </c:pt>
                <c:pt idx="8">
                  <c:v>2014/15 з</c:v>
                </c:pt>
                <c:pt idx="9">
                  <c:v>2014/15 љ</c:v>
                </c:pt>
                <c:pt idx="10">
                  <c:v>2015/16 з</c:v>
                </c:pt>
                <c:pt idx="11">
                  <c:v>2015/16 љ</c:v>
                </c:pt>
                <c:pt idx="12">
                  <c:v>2016/17 з</c:v>
                </c:pt>
                <c:pt idx="13">
                  <c:v>2016/17 љ</c:v>
                </c:pt>
              </c:strCache>
            </c:strRef>
          </c:cat>
          <c:val>
            <c:numRef>
              <c:f>'Студији и службе (2016-17 љетни'!$G$4:$G$17</c:f>
              <c:numCache>
                <c:formatCode>General</c:formatCode>
                <c:ptCount val="14"/>
                <c:pt idx="0">
                  <c:v>3.72</c:v>
                </c:pt>
                <c:pt idx="1">
                  <c:v>3.75</c:v>
                </c:pt>
                <c:pt idx="2">
                  <c:v>3.79</c:v>
                </c:pt>
                <c:pt idx="3">
                  <c:v>3.81</c:v>
                </c:pt>
                <c:pt idx="4">
                  <c:v>3.86</c:v>
                </c:pt>
                <c:pt idx="5">
                  <c:v>3.73</c:v>
                </c:pt>
                <c:pt idx="6">
                  <c:v>3.94</c:v>
                </c:pt>
                <c:pt idx="7">
                  <c:v>3.9</c:v>
                </c:pt>
                <c:pt idx="8">
                  <c:v>3.93</c:v>
                </c:pt>
                <c:pt idx="9">
                  <c:v>3.94</c:v>
                </c:pt>
                <c:pt idx="10">
                  <c:v>4.03</c:v>
                </c:pt>
                <c:pt idx="11">
                  <c:v>3.95</c:v>
                </c:pt>
                <c:pt idx="12">
                  <c:v>4.01</c:v>
                </c:pt>
                <c:pt idx="13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8-4930-BA40-2DD84CF544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516416"/>
        <c:axId val="359673856"/>
      </c:barChart>
      <c:catAx>
        <c:axId val="359516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400000"/>
          <a:lstStyle/>
          <a:p>
            <a:pPr>
              <a:defRPr sz="800" baseline="0"/>
            </a:pPr>
            <a:endParaRPr lang="sr-Latn-RS"/>
          </a:p>
        </c:txPr>
        <c:crossAx val="359673856"/>
        <c:crosses val="autoZero"/>
        <c:auto val="1"/>
        <c:lblAlgn val="ctr"/>
        <c:lblOffset val="100"/>
        <c:noMultiLvlLbl val="0"/>
      </c:catAx>
      <c:valAx>
        <c:axId val="359673856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59516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љетни'!$C$20:$C$36</c:f>
              <c:numCache>
                <c:formatCode>General</c:formatCode>
                <c:ptCount val="17"/>
                <c:pt idx="0">
                  <c:v>3.6</c:v>
                </c:pt>
                <c:pt idx="1">
                  <c:v>4.3</c:v>
                </c:pt>
                <c:pt idx="2">
                  <c:v>4.3499999999999996</c:v>
                </c:pt>
                <c:pt idx="3">
                  <c:v>4.53</c:v>
                </c:pt>
                <c:pt idx="4">
                  <c:v>4.18</c:v>
                </c:pt>
                <c:pt idx="5">
                  <c:v>4.45</c:v>
                </c:pt>
                <c:pt idx="6">
                  <c:v>4.2300000000000004</c:v>
                </c:pt>
                <c:pt idx="7">
                  <c:v>4.8099999999999996</c:v>
                </c:pt>
                <c:pt idx="8">
                  <c:v>4.2</c:v>
                </c:pt>
                <c:pt idx="9">
                  <c:v>4.12</c:v>
                </c:pt>
                <c:pt idx="10">
                  <c:v>3.51</c:v>
                </c:pt>
                <c:pt idx="11">
                  <c:v>0</c:v>
                </c:pt>
                <c:pt idx="12">
                  <c:v>3.86</c:v>
                </c:pt>
                <c:pt idx="13">
                  <c:v>3.92</c:v>
                </c:pt>
                <c:pt idx="14">
                  <c:v>4.3099999999999996</c:v>
                </c:pt>
                <c:pt idx="15">
                  <c:v>4.0999999999999996</c:v>
                </c:pt>
                <c:pt idx="16">
                  <c:v>3.89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73-4880-888B-9CF5C68D87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9895040"/>
        <c:axId val="359896576"/>
      </c:barChart>
      <c:catAx>
        <c:axId val="3598950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sr-Latn-RS"/>
          </a:p>
        </c:txPr>
        <c:crossAx val="359896576"/>
        <c:crosses val="autoZero"/>
        <c:auto val="1"/>
        <c:lblAlgn val="ctr"/>
        <c:lblOffset val="100"/>
        <c:noMultiLvlLbl val="0"/>
      </c:catAx>
      <c:valAx>
        <c:axId val="359896576"/>
        <c:scaling>
          <c:orientation val="minMax"/>
        </c:scaling>
        <c:delete val="0"/>
        <c:axPos val="b"/>
        <c:majorGridlines>
          <c:spPr>
            <a:ln w="2541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 baseline="0"/>
            </a:pPr>
            <a:endParaRPr lang="sr-Latn-RS"/>
          </a:p>
        </c:txPr>
        <c:crossAx val="359895040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љетни'!$B$59:$B$72</c:f>
              <c:strCache>
                <c:ptCount val="14"/>
                <c:pt idx="0">
                  <c:v>2010/11 з</c:v>
                </c:pt>
                <c:pt idx="1">
                  <c:v>2010/11 љ</c:v>
                </c:pt>
                <c:pt idx="2">
                  <c:v>2011/12 з</c:v>
                </c:pt>
                <c:pt idx="3">
                  <c:v>2011/12 љ</c:v>
                </c:pt>
                <c:pt idx="4">
                  <c:v>2012/13 з</c:v>
                </c:pt>
                <c:pt idx="5">
                  <c:v>2012/13 љ</c:v>
                </c:pt>
                <c:pt idx="6">
                  <c:v>2013/14 з</c:v>
                </c:pt>
                <c:pt idx="7">
                  <c:v>2013/14 љ</c:v>
                </c:pt>
                <c:pt idx="8">
                  <c:v>2014/15 з</c:v>
                </c:pt>
                <c:pt idx="9">
                  <c:v>2014/15 љ</c:v>
                </c:pt>
                <c:pt idx="10">
                  <c:v>2015/16 з</c:v>
                </c:pt>
                <c:pt idx="11">
                  <c:v>2015/16 љ</c:v>
                </c:pt>
                <c:pt idx="12">
                  <c:v>2016/17 з</c:v>
                </c:pt>
                <c:pt idx="13">
                  <c:v>2016/17 љ</c:v>
                </c:pt>
              </c:strCache>
            </c:strRef>
          </c:cat>
          <c:val>
            <c:numRef>
              <c:f>'Студији и службе (2016-17 љетни'!$G$59:$G$72</c:f>
              <c:numCache>
                <c:formatCode>General</c:formatCode>
                <c:ptCount val="14"/>
                <c:pt idx="0">
                  <c:v>3.51</c:v>
                </c:pt>
                <c:pt idx="1">
                  <c:v>3.63</c:v>
                </c:pt>
                <c:pt idx="2">
                  <c:v>3.62</c:v>
                </c:pt>
                <c:pt idx="3">
                  <c:v>3.59</c:v>
                </c:pt>
                <c:pt idx="4">
                  <c:v>3.67</c:v>
                </c:pt>
                <c:pt idx="5">
                  <c:v>3.5</c:v>
                </c:pt>
                <c:pt idx="6">
                  <c:v>3.82</c:v>
                </c:pt>
                <c:pt idx="7">
                  <c:v>3.73</c:v>
                </c:pt>
                <c:pt idx="8">
                  <c:v>3.76</c:v>
                </c:pt>
                <c:pt idx="9">
                  <c:v>3.78</c:v>
                </c:pt>
                <c:pt idx="10">
                  <c:v>3.88</c:v>
                </c:pt>
                <c:pt idx="11">
                  <c:v>3.8</c:v>
                </c:pt>
                <c:pt idx="12">
                  <c:v>3.84</c:v>
                </c:pt>
                <c:pt idx="13">
                  <c:v>3.94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F0-4128-AD25-29D7969F8E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060416"/>
        <c:axId val="360061952"/>
      </c:barChart>
      <c:catAx>
        <c:axId val="360060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3120000"/>
          <a:lstStyle/>
          <a:p>
            <a:pPr>
              <a:defRPr sz="800"/>
            </a:pPr>
            <a:endParaRPr lang="sr-Latn-RS"/>
          </a:p>
        </c:txPr>
        <c:crossAx val="360061952"/>
        <c:crosses val="autoZero"/>
        <c:auto val="1"/>
        <c:lblAlgn val="ctr"/>
        <c:lblOffset val="100"/>
        <c:noMultiLvlLbl val="0"/>
      </c:catAx>
      <c:valAx>
        <c:axId val="360061952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60060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39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љетни'!$A$20:$A$36</c:f>
              <c:strCache>
                <c:ptCount val="17"/>
                <c:pt idx="0">
                  <c:v>Академија ликовних умјетности</c:v>
                </c:pt>
                <c:pt idx="1">
                  <c:v>Православни богословски факултет</c:v>
                </c:pt>
                <c:pt idx="2">
                  <c:v>Економски факултет Брчко</c:v>
                </c:pt>
                <c:pt idx="3">
                  <c:v>Економски факултет Пале</c:v>
                </c:pt>
                <c:pt idx="4">
                  <c:v>Електротехнички факултет</c:v>
                </c:pt>
                <c:pt idx="5">
                  <c:v>Факултет физичког васпитања и спорта</c:v>
                </c:pt>
                <c:pt idx="6">
                  <c:v>Факултет пословне економије</c:v>
                </c:pt>
                <c:pt idx="7">
                  <c:v>Факултет за производњу и менаџмент</c:v>
                </c:pt>
                <c:pt idx="8">
                  <c:v>Филозофски факултет</c:v>
                </c:pt>
                <c:pt idx="9">
                  <c:v>Машински факултет</c:v>
                </c:pt>
                <c:pt idx="10">
                  <c:v>Медицински факултет</c:v>
                </c:pt>
                <c:pt idx="11">
                  <c:v>Музичка академија</c:v>
                </c:pt>
                <c:pt idx="12">
                  <c:v>Педагошки факултет</c:v>
                </c:pt>
                <c:pt idx="13">
                  <c:v>Пољопривредни факултет</c:v>
                </c:pt>
                <c:pt idx="14">
                  <c:v>Правни факултет</c:v>
                </c:pt>
                <c:pt idx="15">
                  <c:v>Саобраћајни факултет</c:v>
                </c:pt>
                <c:pt idx="16">
                  <c:v>Технолошки факултет</c:v>
                </c:pt>
              </c:strCache>
            </c:strRef>
          </c:cat>
          <c:val>
            <c:numRef>
              <c:f>'Студији и службе (2016-17 љетни'!$D$20:$D$36</c:f>
              <c:numCache>
                <c:formatCode>General</c:formatCode>
                <c:ptCount val="17"/>
                <c:pt idx="0">
                  <c:v>2.97</c:v>
                </c:pt>
                <c:pt idx="1">
                  <c:v>4.01</c:v>
                </c:pt>
                <c:pt idx="2">
                  <c:v>4.18</c:v>
                </c:pt>
                <c:pt idx="3">
                  <c:v>4.4400000000000004</c:v>
                </c:pt>
                <c:pt idx="4">
                  <c:v>3.84</c:v>
                </c:pt>
                <c:pt idx="5">
                  <c:v>4.3099999999999996</c:v>
                </c:pt>
                <c:pt idx="6">
                  <c:v>4.18</c:v>
                </c:pt>
                <c:pt idx="7">
                  <c:v>4.71</c:v>
                </c:pt>
                <c:pt idx="8">
                  <c:v>4.08</c:v>
                </c:pt>
                <c:pt idx="9">
                  <c:v>3.8</c:v>
                </c:pt>
                <c:pt idx="10">
                  <c:v>3.53</c:v>
                </c:pt>
                <c:pt idx="11">
                  <c:v>0</c:v>
                </c:pt>
                <c:pt idx="12">
                  <c:v>3.69</c:v>
                </c:pt>
                <c:pt idx="13">
                  <c:v>3.61</c:v>
                </c:pt>
                <c:pt idx="14">
                  <c:v>4.0199999999999996</c:v>
                </c:pt>
                <c:pt idx="15">
                  <c:v>3.91</c:v>
                </c:pt>
                <c:pt idx="16">
                  <c:v>3.88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1B-405D-A564-A184CCB13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3990016"/>
        <c:axId val="363991808"/>
      </c:barChart>
      <c:catAx>
        <c:axId val="3639900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63991808"/>
        <c:crosses val="autoZero"/>
        <c:auto val="1"/>
        <c:lblAlgn val="ctr"/>
        <c:lblOffset val="100"/>
        <c:noMultiLvlLbl val="0"/>
      </c:catAx>
      <c:valAx>
        <c:axId val="363991808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sr-Latn-RS"/>
          </a:p>
        </c:txPr>
        <c:crossAx val="363990016"/>
        <c:crosses val="autoZero"/>
        <c:crossBetween val="between"/>
        <c:majorUnit val="0.25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37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'Студији и службе (2016-17 љетни'!$B$76:$B$89</c:f>
              <c:strCache>
                <c:ptCount val="14"/>
                <c:pt idx="0">
                  <c:v>2010/11 з</c:v>
                </c:pt>
                <c:pt idx="1">
                  <c:v>2010/11 љ</c:v>
                </c:pt>
                <c:pt idx="2">
                  <c:v>2011/12 з</c:v>
                </c:pt>
                <c:pt idx="3">
                  <c:v>2011/12 љ</c:v>
                </c:pt>
                <c:pt idx="4">
                  <c:v>2012/13 з</c:v>
                </c:pt>
                <c:pt idx="5">
                  <c:v>2012/13 љ</c:v>
                </c:pt>
                <c:pt idx="6">
                  <c:v>2013/14 з</c:v>
                </c:pt>
                <c:pt idx="7">
                  <c:v>2013/14 љ</c:v>
                </c:pt>
                <c:pt idx="8">
                  <c:v>2014/15 з</c:v>
                </c:pt>
                <c:pt idx="9">
                  <c:v>2014/15 љ</c:v>
                </c:pt>
                <c:pt idx="10">
                  <c:v>2015/16 з</c:v>
                </c:pt>
                <c:pt idx="11">
                  <c:v>2015/16 љ</c:v>
                </c:pt>
                <c:pt idx="12">
                  <c:v>2016/17 з</c:v>
                </c:pt>
                <c:pt idx="13">
                  <c:v>2016/17 љ</c:v>
                </c:pt>
              </c:strCache>
            </c:strRef>
          </c:cat>
          <c:val>
            <c:numRef>
              <c:f>'Студији и службе (2016-17 љетни'!$G$76:$G$89</c:f>
              <c:numCache>
                <c:formatCode>General</c:formatCode>
                <c:ptCount val="14"/>
                <c:pt idx="0">
                  <c:v>3.85</c:v>
                </c:pt>
                <c:pt idx="1">
                  <c:v>3.85</c:v>
                </c:pt>
                <c:pt idx="2">
                  <c:v>3.88</c:v>
                </c:pt>
                <c:pt idx="3">
                  <c:v>4.0599999999999996</c:v>
                </c:pt>
                <c:pt idx="4">
                  <c:v>4</c:v>
                </c:pt>
                <c:pt idx="5">
                  <c:v>4.04</c:v>
                </c:pt>
                <c:pt idx="6">
                  <c:v>4.09</c:v>
                </c:pt>
                <c:pt idx="7">
                  <c:v>4.01</c:v>
                </c:pt>
                <c:pt idx="8">
                  <c:v>4.05</c:v>
                </c:pt>
                <c:pt idx="9">
                  <c:v>4.08</c:v>
                </c:pt>
                <c:pt idx="10">
                  <c:v>4.12</c:v>
                </c:pt>
                <c:pt idx="11">
                  <c:v>4.0199999999999996</c:v>
                </c:pt>
                <c:pt idx="12">
                  <c:v>4.1100000000000003</c:v>
                </c:pt>
                <c:pt idx="13">
                  <c:v>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EF-4CC7-85BE-B75BD1C06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7895296"/>
        <c:axId val="367896832"/>
      </c:barChart>
      <c:catAx>
        <c:axId val="367895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3120000"/>
          <a:lstStyle/>
          <a:p>
            <a:pPr>
              <a:defRPr sz="799"/>
            </a:pPr>
            <a:endParaRPr lang="sr-Latn-RS"/>
          </a:p>
        </c:txPr>
        <c:crossAx val="367896832"/>
        <c:crosses val="autoZero"/>
        <c:auto val="1"/>
        <c:lblAlgn val="ctr"/>
        <c:lblOffset val="100"/>
        <c:noMultiLvlLbl val="0"/>
      </c:catAx>
      <c:valAx>
        <c:axId val="367896832"/>
        <c:scaling>
          <c:orientation val="minMax"/>
        </c:scaling>
        <c:delete val="0"/>
        <c:axPos val="l"/>
        <c:majorGridlines>
          <c:spPr>
            <a:ln w="0"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crossAx val="367895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PC075</dc:creator>
  <cp:lastModifiedBy>PC075</cp:lastModifiedBy>
  <cp:revision>3</cp:revision>
  <dcterms:created xsi:type="dcterms:W3CDTF">2017-07-05T12:47:00Z</dcterms:created>
  <dcterms:modified xsi:type="dcterms:W3CDTF">2017-07-06T12:57:00Z</dcterms:modified>
</cp:coreProperties>
</file>